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A065" w14:textId="5A15B4E4" w:rsidR="009376D8" w:rsidRDefault="008248D1">
      <w:pPr>
        <w:rPr>
          <w:rFonts w:asciiTheme="majorHAnsi" w:hAnsiTheme="majorHAnsi" w:cstheme="majorHAnsi"/>
          <w:sz w:val="24"/>
          <w:szCs w:val="24"/>
        </w:rPr>
      </w:pPr>
      <w:r w:rsidRPr="00D93602">
        <w:rPr>
          <w:rFonts w:asciiTheme="majorHAnsi" w:hAnsiTheme="maj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54ACB1" wp14:editId="62B4FBA1">
            <wp:simplePos x="0" y="0"/>
            <wp:positionH relativeFrom="margin">
              <wp:posOffset>-803081</wp:posOffset>
            </wp:positionH>
            <wp:positionV relativeFrom="paragraph">
              <wp:posOffset>-796456</wp:posOffset>
            </wp:positionV>
            <wp:extent cx="1718841" cy="1714500"/>
            <wp:effectExtent l="0" t="0" r="0" b="0"/>
            <wp:wrapNone/>
            <wp:docPr id="1" name="Picture 1" descr="G:\Branding\Logo_different formats\SFB LOGO-circ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\Logo_different formats\SFB LOGO-circl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4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1F14E" w14:textId="110724A6" w:rsidR="001073B2" w:rsidRPr="006131D0" w:rsidRDefault="001073B2" w:rsidP="001073B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407C1AA" w14:textId="77777777" w:rsidR="001073B2" w:rsidRPr="006131D0" w:rsidRDefault="001073B2" w:rsidP="001073B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6E2142" w14:textId="041CE266" w:rsidR="001073B2" w:rsidRPr="006131D0" w:rsidRDefault="005E6DC2" w:rsidP="001073B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="00081592">
        <w:rPr>
          <w:rFonts w:asciiTheme="majorHAnsi" w:hAnsiTheme="majorHAnsi" w:cstheme="majorHAnsi"/>
          <w:sz w:val="24"/>
          <w:szCs w:val="24"/>
        </w:rPr>
        <w:t xml:space="preserve">MANAGER </w:t>
      </w:r>
      <w:r w:rsidR="00AA7365">
        <w:rPr>
          <w:rFonts w:asciiTheme="majorHAnsi" w:hAnsiTheme="majorHAnsi" w:cstheme="majorHAnsi"/>
          <w:sz w:val="24"/>
          <w:szCs w:val="24"/>
        </w:rPr>
        <w:t>POST</w:t>
      </w:r>
      <w:r w:rsidR="006A516E">
        <w:rPr>
          <w:rFonts w:asciiTheme="majorHAnsi" w:hAnsiTheme="majorHAnsi" w:cstheme="majorHAnsi"/>
          <w:sz w:val="24"/>
          <w:szCs w:val="24"/>
        </w:rPr>
        <w:t>-</w:t>
      </w:r>
      <w:r w:rsidR="00304D62">
        <w:rPr>
          <w:rFonts w:asciiTheme="majorHAnsi" w:hAnsiTheme="majorHAnsi" w:cstheme="majorHAnsi"/>
          <w:sz w:val="24"/>
          <w:szCs w:val="24"/>
        </w:rPr>
        <w:t>SECONDARY</w:t>
      </w:r>
      <w:r w:rsidR="00081592">
        <w:rPr>
          <w:rFonts w:asciiTheme="majorHAnsi" w:hAnsiTheme="majorHAnsi" w:cstheme="majorHAnsi"/>
          <w:sz w:val="24"/>
          <w:szCs w:val="24"/>
        </w:rPr>
        <w:t xml:space="preserve"> PROGRAMMES</w:t>
      </w:r>
      <w:r>
        <w:rPr>
          <w:rFonts w:asciiTheme="majorHAnsi" w:hAnsiTheme="majorHAnsi" w:cstheme="majorHAnsi"/>
          <w:sz w:val="24"/>
          <w:szCs w:val="24"/>
        </w:rPr>
        <w:t xml:space="preserve"> – CAPE TOWN BASED</w:t>
      </w:r>
    </w:p>
    <w:p w14:paraId="4983264F" w14:textId="77777777" w:rsidR="001073B2" w:rsidRPr="006131D0" w:rsidRDefault="001073B2">
      <w:pPr>
        <w:rPr>
          <w:rFonts w:asciiTheme="majorHAnsi" w:hAnsiTheme="majorHAnsi" w:cstheme="majorHAnsi"/>
          <w:sz w:val="24"/>
          <w:szCs w:val="24"/>
        </w:rPr>
      </w:pPr>
    </w:p>
    <w:p w14:paraId="476190E5" w14:textId="77777777" w:rsidR="001073B2" w:rsidRPr="006131D0" w:rsidRDefault="001073B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</w:tblGrid>
      <w:tr w:rsidR="00BC697D" w:rsidRPr="006131D0" w14:paraId="5EA6C618" w14:textId="77777777" w:rsidTr="008248D1">
        <w:trPr>
          <w:trHeight w:val="40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762D" w14:textId="77777777" w:rsidR="009376D8" w:rsidRPr="006131D0" w:rsidRDefault="0077614B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MAIN PURPOSE OF THE JOB 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60C2" w14:textId="7C2C8965" w:rsidR="00A23762" w:rsidRPr="006131D0" w:rsidRDefault="004D60DE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Manage and oversee the overall </w:t>
            </w:r>
            <w:r w:rsidR="00AA7365">
              <w:rPr>
                <w:rFonts w:asciiTheme="majorHAnsi" w:eastAsia="Calibri" w:hAnsiTheme="majorHAnsi" w:cstheme="majorHAnsi"/>
                <w:sz w:val="24"/>
                <w:szCs w:val="24"/>
              </w:rPr>
              <w:t>post</w:t>
            </w:r>
            <w:r w:rsidR="006A516E">
              <w:rPr>
                <w:rFonts w:asciiTheme="majorHAnsi" w:eastAsia="Calibri" w:hAnsiTheme="majorHAnsi" w:cstheme="majorHAnsi"/>
                <w:sz w:val="24"/>
                <w:szCs w:val="24"/>
              </w:rPr>
              <w:t>-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>secondary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programme, executing SBF strategy to deliver on organisational goal and vision</w:t>
            </w:r>
          </w:p>
        </w:tc>
      </w:tr>
      <w:tr w:rsidR="00BC697D" w:rsidRPr="006131D0" w14:paraId="272FE034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7BD5" w14:textId="77777777" w:rsidR="009376D8" w:rsidRPr="006131D0" w:rsidRDefault="0077614B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KEY PERFORMANCE AREA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708D" w14:textId="32835B89" w:rsidR="009376D8" w:rsidRPr="006131D0" w:rsidRDefault="0077614B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KEY PERFORMANCE </w:t>
            </w:r>
            <w:r w:rsidR="00614687"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AREAS IN DETAIL</w:t>
            </w: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805B" w14:textId="20A7C359" w:rsidR="009376D8" w:rsidRPr="006131D0" w:rsidRDefault="00F2148C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KEY PERFORMANC</w:t>
            </w:r>
            <w:r w:rsidR="00011509"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E </w:t>
            </w:r>
            <w:r w:rsidR="00614687"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INDICATORS</w:t>
            </w:r>
          </w:p>
        </w:tc>
      </w:tr>
      <w:tr w:rsidR="00BC697D" w:rsidRPr="006131D0" w14:paraId="3B2AE30E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E6C1" w14:textId="0899C1C3" w:rsidR="009376D8" w:rsidRPr="006131D0" w:rsidRDefault="00AD788C">
            <w:pPr>
              <w:widowControl w:val="0"/>
              <w:spacing w:after="200"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Strategic Vision,</w:t>
            </w:r>
            <w:r w:rsidR="0077614B"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Leadership</w:t>
            </w: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and Accountability</w:t>
            </w:r>
          </w:p>
          <w:p w14:paraId="3A797F56" w14:textId="77777777" w:rsidR="009376D8" w:rsidRPr="006131D0" w:rsidRDefault="009376D8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20FA" w14:textId="77777777" w:rsidR="008248D1" w:rsidRPr="006131D0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Contribute to development,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refinement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execution of business strategies</w:t>
            </w:r>
          </w:p>
          <w:p w14:paraId="5AA0FE12" w14:textId="3FBC0A89" w:rsidR="008248D1" w:rsidRPr="006131D0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Contribute to the development and implementation of comprehensive business plan for areas of responsibility, in alignment with the </w:t>
            </w:r>
            <w:r w:rsidR="004D60DE">
              <w:rPr>
                <w:rFonts w:asciiTheme="majorHAnsi" w:eastAsia="Calibri" w:hAnsiTheme="majorHAnsi" w:cstheme="majorHAnsi"/>
                <w:sz w:val="24"/>
                <w:szCs w:val="24"/>
              </w:rPr>
              <w:t>organisational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business plan </w:t>
            </w:r>
          </w:p>
          <w:p w14:paraId="6D3FDDEA" w14:textId="6E8BAB41" w:rsidR="008248D1" w:rsidRPr="006131D0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Contribute to ensuring that the organisation’s culture is informed by its values, and hold the space for organisational reflection and growth, recognising,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valuing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embracing the diversity of views, backgrounds and cultures of th</w:t>
            </w:r>
            <w:r w:rsidR="004D60DE">
              <w:rPr>
                <w:rFonts w:asciiTheme="majorHAnsi" w:eastAsia="Calibri" w:hAnsiTheme="majorHAnsi" w:cstheme="majorHAnsi"/>
                <w:sz w:val="24"/>
                <w:szCs w:val="24"/>
              </w:rPr>
              <w:t>e organisation, scholars/students, partners and stakeholders</w:t>
            </w:r>
          </w:p>
          <w:p w14:paraId="463150FE" w14:textId="2E4D41F9" w:rsidR="008248D1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Support the </w:t>
            </w:r>
            <w:r w:rsidR="004D60DE">
              <w:rPr>
                <w:rFonts w:asciiTheme="majorHAnsi" w:eastAsia="Calibri" w:hAnsiTheme="majorHAnsi" w:cstheme="majorHAnsi"/>
                <w:sz w:val="24"/>
                <w:szCs w:val="24"/>
              </w:rPr>
              <w:t>CEO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 driving efforts to impact the sector more broadly</w:t>
            </w:r>
          </w:p>
          <w:p w14:paraId="6CFD0B32" w14:textId="161883BF" w:rsidR="008248D1" w:rsidRPr="006131D0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Undertake regular reporting on performance against stated milestones and goals</w:t>
            </w:r>
          </w:p>
          <w:p w14:paraId="66959552" w14:textId="5A04D151" w:rsidR="009E5374" w:rsidRDefault="008248D1" w:rsidP="008248D1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Contribute to keeping the </w:t>
            </w:r>
            <w:r w:rsidR="004D60DE">
              <w:rPr>
                <w:rFonts w:asciiTheme="majorHAnsi" w:eastAsia="Calibri" w:hAnsiTheme="majorHAnsi" w:cstheme="majorHAnsi"/>
                <w:sz w:val="24"/>
                <w:szCs w:val="24"/>
              </w:rPr>
              <w:t>SBF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at the forefront of </w:t>
            </w:r>
            <w:r w:rsidR="004D60DE">
              <w:rPr>
                <w:rFonts w:asciiTheme="majorHAnsi" w:eastAsia="Calibri" w:hAnsiTheme="majorHAnsi" w:cstheme="majorHAnsi"/>
                <w:sz w:val="24"/>
                <w:szCs w:val="24"/>
              </w:rPr>
              <w:t>sector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locally, </w:t>
            </w:r>
            <w:r w:rsidR="009E5374"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monitoring developments and responding to the changes</w:t>
            </w:r>
            <w:r w:rsidR="009E537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utilising information for purpose of diagnostics, policy development, </w:t>
            </w:r>
            <w:proofErr w:type="gramStart"/>
            <w:r w:rsidR="009E5374">
              <w:rPr>
                <w:rFonts w:asciiTheme="majorHAnsi" w:eastAsia="Calibri" w:hAnsiTheme="majorHAnsi" w:cstheme="majorHAnsi"/>
                <w:sz w:val="24"/>
                <w:szCs w:val="24"/>
              </w:rPr>
              <w:t>advocacy</w:t>
            </w:r>
            <w:proofErr w:type="gramEnd"/>
            <w:r w:rsidR="009E537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strategy development</w:t>
            </w:r>
          </w:p>
          <w:p w14:paraId="72494673" w14:textId="22667E87" w:rsidR="009E5374" w:rsidRPr="009E5374" w:rsidRDefault="009E5374" w:rsidP="009E5374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Continuously</w:t>
            </w:r>
            <w:r w:rsidR="008248D1"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recommend improved strategies, policies, operations, </w:t>
            </w:r>
            <w:proofErr w:type="gramStart"/>
            <w:r w:rsidR="008248D1"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systems</w:t>
            </w:r>
            <w:proofErr w:type="gramEnd"/>
            <w:r w:rsidR="008248D1"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processes</w:t>
            </w:r>
          </w:p>
          <w:p w14:paraId="7F3D87BD" w14:textId="3CD2DAB7" w:rsidR="009E5374" w:rsidRPr="006131D0" w:rsidRDefault="009E5374" w:rsidP="009E5374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Work collaboratively with colleagues, promoting cross-learning through active sharing of information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D247" w14:textId="77777777" w:rsidR="009376D8" w:rsidRPr="006131D0" w:rsidRDefault="009376D8" w:rsidP="0061468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30D61" w:rsidRPr="006131D0" w14:paraId="796C2EFE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6807" w14:textId="1704E6C1" w:rsidR="00A30D61" w:rsidRDefault="00304D62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Post-secondary</w:t>
            </w:r>
            <w:r w:rsidR="00A30D6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Preparation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740E" w14:textId="28B9690A" w:rsidR="00A30D61" w:rsidRDefault="00A30D61" w:rsidP="00F52947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Support the 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secondary school transition process,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 alignment with 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>post-secondary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programme, plan and processes</w:t>
            </w:r>
            <w:r w:rsidR="00A43618">
              <w:rPr>
                <w:rFonts w:asciiTheme="majorHAnsi" w:eastAsia="Calibri" w:hAnsiTheme="majorHAnsi" w:cstheme="majorHAnsi"/>
                <w:sz w:val="24"/>
                <w:szCs w:val="24"/>
              </w:rPr>
              <w:t>, overseeing and undertaking the following:</w:t>
            </w:r>
          </w:p>
          <w:p w14:paraId="4B37672E" w14:textId="77777777" w:rsidR="00304D62" w:rsidRDefault="00304D62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Facilitate post-secondary to high school mentorship programme</w:t>
            </w:r>
          </w:p>
          <w:p w14:paraId="2F4EC969" w14:textId="30AF774F" w:rsidR="00304D62" w:rsidRDefault="00304D62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Facilitate high-school </w:t>
            </w: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scholars</w:t>
            </w:r>
            <w:proofErr w:type="gram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access to post-secondary opportunities</w:t>
            </w:r>
          </w:p>
          <w:p w14:paraId="5680D416" w14:textId="4D6809E2" w:rsidR="00304D62" w:rsidRDefault="00A43618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Research, document and update the financial opportunities available to students and f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acilitate and support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their 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understanding of and access to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same</w:t>
            </w:r>
          </w:p>
          <w:p w14:paraId="61575DD7" w14:textId="3A314554" w:rsidR="00E51A2A" w:rsidRDefault="00E51A2A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Finalise post-secondary bursaries</w:t>
            </w:r>
          </w:p>
          <w:p w14:paraId="0F3D86FA" w14:textId="46C32F7E" w:rsidR="00E51A2A" w:rsidRDefault="00E51A2A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Finalise post-secondary mentor/tutor selection and stipend contracts</w:t>
            </w:r>
          </w:p>
          <w:p w14:paraId="66652D14" w14:textId="2820A7AB" w:rsidR="00F65A53" w:rsidRDefault="00304D62" w:rsidP="00304D62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Facilitate workshops around career</w:t>
            </w:r>
            <w:r w:rsidR="00E51A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E51A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entrepreneurial opportunities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linking scholars to industry experts</w:t>
            </w:r>
          </w:p>
          <w:p w14:paraId="26E2AA72" w14:textId="77777777" w:rsidR="00304D62" w:rsidRDefault="00304D62" w:rsidP="00304D62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Facilitate vacation placements for scholars</w:t>
            </w:r>
          </w:p>
          <w:p w14:paraId="0C7F94E9" w14:textId="6D4BDE3E" w:rsidR="00304D62" w:rsidRPr="00304D62" w:rsidRDefault="00304D62" w:rsidP="00304D62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Collaborate closely with Manager High School Programmes and High School Programme Coordinators in ensuring best outcomes for the post-secondary transition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633F" w14:textId="77777777" w:rsidR="00A30D61" w:rsidRPr="006131D0" w:rsidRDefault="00A30D61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556196BB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45BA" w14:textId="71D84BCD" w:rsidR="005869CE" w:rsidRPr="006131D0" w:rsidRDefault="00177112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Tertiary p</w:t>
            </w:r>
            <w:r w:rsidR="00F52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rogramme </w:t>
            </w:r>
            <w:r w:rsidR="00304D6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implementation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6364" w14:textId="6BFF74BB" w:rsidR="005C41A9" w:rsidRDefault="00A30D61" w:rsidP="001B0A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Manage </w:t>
            </w:r>
            <w:r w:rsidR="00304D6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and implement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the </w:t>
            </w:r>
            <w:r w:rsidR="00177112">
              <w:rPr>
                <w:rFonts w:asciiTheme="majorHAnsi" w:eastAsia="Calibri" w:hAnsiTheme="majorHAnsi" w:cstheme="majorHAnsi"/>
                <w:sz w:val="24"/>
                <w:szCs w:val="24"/>
              </w:rPr>
              <w:t>tertiary support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programme, </w:t>
            </w:r>
            <w:r w:rsidR="003C05D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overseeing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and undertaking programme delivery</w:t>
            </w:r>
          </w:p>
          <w:p w14:paraId="4ACE7C50" w14:textId="741AA274" w:rsidR="00A30D61" w:rsidRDefault="0057786D" w:rsidP="001B0AA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Implement 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>student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orientation programme, supporting the smooth transition into the 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>institution</w:t>
            </w:r>
          </w:p>
          <w:p w14:paraId="04E4BB32" w14:textId="38D0AF9C" w:rsidR="0057786D" w:rsidRDefault="00A43618" w:rsidP="001B0AA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Research, document and update the available academic and psychosocial support provided to students at institutions and e</w:t>
            </w:r>
            <w:r w:rsidR="0057786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nsure 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>students</w:t>
            </w:r>
            <w:r w:rsidR="0057786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are all well informed of the 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>on-</w:t>
            </w:r>
            <w:proofErr w:type="gramStart"/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campus </w:t>
            </w:r>
            <w:r w:rsidR="0057786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opportunities</w:t>
            </w:r>
            <w:proofErr w:type="gramEnd"/>
            <w:r w:rsidR="0057786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support mechanisms (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including </w:t>
            </w:r>
            <w:r w:rsidR="0057786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academic and psychosocial), 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and how to access same </w:t>
            </w:r>
          </w:p>
          <w:p w14:paraId="26E865EA" w14:textId="77777777" w:rsidR="005453D4" w:rsidRDefault="005453D4" w:rsidP="005453D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Ensure the t</w:t>
            </w:r>
            <w:r w:rsidR="002A67D2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>rack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ing</w:t>
            </w:r>
            <w:r w:rsidR="002A67D2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monitor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ing of</w:t>
            </w:r>
            <w:r w:rsidR="002A67D2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student </w:t>
            </w:r>
            <w:r w:rsidR="0057786D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academic </w:t>
            </w:r>
            <w:r w:rsidR="002A67D2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>bi-</w:t>
            </w:r>
            <w:r w:rsidR="002A67D2">
              <w:rPr>
                <w:rFonts w:asciiTheme="majorHAnsi" w:eastAsia="Calibri" w:hAnsiTheme="majorHAnsi" w:cstheme="majorHAnsi"/>
                <w:sz w:val="24"/>
                <w:szCs w:val="24"/>
              </w:rPr>
              <w:t>annual</w:t>
            </w:r>
            <w:r w:rsidR="002A67D2" w:rsidRPr="002A67D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results</w:t>
            </w:r>
          </w:p>
          <w:p w14:paraId="7EBDB4C8" w14:textId="77740FCD" w:rsidR="001B0AA2" w:rsidRPr="005453D4" w:rsidRDefault="005453D4" w:rsidP="005453D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Oversee and ensure the development of intervention plans through </w:t>
            </w:r>
            <w:r w:rsidR="002A67D2" w:rsidRPr="005453D4">
              <w:rPr>
                <w:rFonts w:asciiTheme="majorHAnsi" w:eastAsia="Calibri" w:hAnsiTheme="majorHAnsi" w:cstheme="majorHAnsi"/>
                <w:sz w:val="24"/>
                <w:szCs w:val="24"/>
              </w:rPr>
              <w:t>bi-annual individual coaching sessions in first year of tertiary studies</w:t>
            </w:r>
          </w:p>
          <w:p w14:paraId="6C5784C1" w14:textId="5AFAF4C3" w:rsidR="00CA16A0" w:rsidRDefault="00CA16A0" w:rsidP="001B0AA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Implement psychosocial support programme, inclusive of personal and self-development workshops, collaborating closely Manager Psychosocial Support to access programme</w:t>
            </w:r>
          </w:p>
          <w:p w14:paraId="040AB6DE" w14:textId="041E91BB" w:rsidR="002A67D2" w:rsidRDefault="00CA16A0" w:rsidP="001B0AA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Facilitate referrals to appropriate institutional academic and psychosocial support in year one </w:t>
            </w:r>
          </w:p>
          <w:p w14:paraId="1F511745" w14:textId="2F92C358" w:rsidR="001B0AA2" w:rsidRDefault="001B0AA2" w:rsidP="001B0AA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Collaborate with the Head Psychosocial on analysing effectiveness of interventions and determining further actions</w:t>
            </w:r>
          </w:p>
          <w:p w14:paraId="7B870CBB" w14:textId="6D1EB4EA" w:rsidR="00CA16A0" w:rsidRPr="00CA16A0" w:rsidRDefault="00CA16A0" w:rsidP="00CA16A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Develop and implement a structured mentorship programme for students, both internally and externally</w:t>
            </w:r>
          </w:p>
          <w:p w14:paraId="2A18B594" w14:textId="7DC99D40" w:rsidR="00CA16A0" w:rsidRDefault="00DF680F" w:rsidP="00CA16A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Actively engage with</w:t>
            </w:r>
            <w:r w:rsidR="001B0AA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CA16A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tertiary institution fees office/bursars and academic support programme </w:t>
            </w:r>
          </w:p>
          <w:p w14:paraId="0430D371" w14:textId="77777777" w:rsidR="00DF680F" w:rsidRDefault="00CA16A0" w:rsidP="00CA16A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Oversee and monitor the mentorship/tutor high school programme, managing the contractual obligations of students</w:t>
            </w:r>
          </w:p>
          <w:p w14:paraId="6C7CE6F4" w14:textId="76DFA196" w:rsidR="00213CBD" w:rsidRPr="00213CBD" w:rsidRDefault="00213CBD" w:rsidP="00213CBD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Oversee the early warning system for student’s academic status, ensuring updating of student </w:t>
            </w: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data-base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1E8C" w14:textId="77777777" w:rsidR="005869CE" w:rsidRPr="006131D0" w:rsidRDefault="005869CE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30D61" w:rsidRPr="006131D0" w14:paraId="6AF87D11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F7DF" w14:textId="6234F4C3" w:rsidR="00A30D61" w:rsidRDefault="00304D62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Career readiness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AEFD" w14:textId="7D9230E6" w:rsidR="00A30D61" w:rsidRDefault="00A30D61" w:rsidP="00A30D61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Support the transition into </w:t>
            </w:r>
            <w:r w:rsidR="00177112">
              <w:rPr>
                <w:rFonts w:asciiTheme="majorHAnsi" w:eastAsia="Calibri" w:hAnsiTheme="majorHAnsi" w:cstheme="majorHAnsi"/>
                <w:sz w:val="24"/>
                <w:szCs w:val="24"/>
              </w:rPr>
              <w:t>careers</w:t>
            </w:r>
            <w:r w:rsidR="00A43618">
              <w:rPr>
                <w:rFonts w:asciiTheme="majorHAnsi" w:eastAsia="Calibri" w:hAnsiTheme="majorHAnsi" w:cstheme="majorHAnsi"/>
                <w:sz w:val="24"/>
                <w:szCs w:val="24"/>
              </w:rPr>
              <w:t>, overseeing and undertaking: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47BC20B4" w14:textId="74E4D3A6" w:rsidR="00DF680F" w:rsidRPr="00CA16A0" w:rsidRDefault="00DF680F" w:rsidP="00CA16A0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Facilitat</w:t>
            </w:r>
            <w:r w:rsidR="00177112">
              <w:rPr>
                <w:rFonts w:asciiTheme="majorHAnsi" w:eastAsia="Calibri" w:hAnsiTheme="majorHAnsi" w:cstheme="majorHAnsi"/>
                <w:sz w:val="24"/>
                <w:szCs w:val="24"/>
              </w:rPr>
              <w:t>ing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workshops </w:t>
            </w:r>
            <w:r w:rsidR="001771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around development of CVs, interviewing techniques and entrepreneurial training linking </w:t>
            </w:r>
            <w:r w:rsidR="00CA16A0">
              <w:rPr>
                <w:rFonts w:asciiTheme="majorHAnsi" w:eastAsia="Calibri" w:hAnsiTheme="majorHAnsi" w:cstheme="majorHAnsi"/>
                <w:sz w:val="24"/>
                <w:szCs w:val="24"/>
              </w:rPr>
              <w:t>students</w:t>
            </w:r>
            <w:r w:rsidR="001771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industry experts</w:t>
            </w:r>
          </w:p>
          <w:p w14:paraId="6FDE0B11" w14:textId="77777777" w:rsidR="006069F3" w:rsidRDefault="00CA16A0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Facilitate networking with key industry partners to help create placement opportunities for graduates, including internships</w:t>
            </w:r>
          </w:p>
          <w:p w14:paraId="6C0E0DA3" w14:textId="1BE3627B" w:rsidR="00A30D61" w:rsidRDefault="006069F3" w:rsidP="00A30D61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Undertake work readiness workshops with industry partners/experts in final year of tertiary studies</w:t>
            </w:r>
            <w:r w:rsidR="00DF680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812" w14:textId="77777777" w:rsidR="00A30D61" w:rsidRPr="006131D0" w:rsidRDefault="00A30D61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13CBD" w:rsidRPr="006131D0" w14:paraId="5DBA75E9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774C" w14:textId="437D6116" w:rsidR="00213CBD" w:rsidRDefault="00213CBD" w:rsidP="00213CBD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Individual student support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6DA8" w14:textId="60EE3CFE" w:rsidR="00213CBD" w:rsidRPr="00213CBD" w:rsidRDefault="00213CBD" w:rsidP="00213CBD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Oversee the delivery of individual student support, ensuring effective balance between SBF and institutional support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B813" w14:textId="77777777" w:rsidR="00213CBD" w:rsidRPr="006131D0" w:rsidRDefault="00213CBD" w:rsidP="00213CBD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04D62" w:rsidRPr="006131D0" w14:paraId="66A2A444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EE11" w14:textId="042A32C3" w:rsidR="00304D62" w:rsidRDefault="00304D62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Manage Alumni programme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A505" w14:textId="73F6F302" w:rsidR="00304D62" w:rsidRDefault="00850153" w:rsidP="00B30FE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Develop and oversee the alumni programme, facilitating school and tertiary graduates’ give-back programme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60E" w14:textId="77777777" w:rsidR="00304D62" w:rsidRPr="006131D0" w:rsidRDefault="00304D62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43618" w:rsidRPr="006131D0" w14:paraId="5DB3B11F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6FC4" w14:textId="7F355E3B" w:rsidR="00A43618" w:rsidRDefault="00A43618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Partnerships &amp; stakeholder management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2FBC" w14:textId="3CAA2697" w:rsidR="00A43618" w:rsidRDefault="00A43618" w:rsidP="00B30FE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Undertake active stakeholder and partner networking and mapping, to expand available funding opportunities, provide mentorship and vacation/intern/job placement opportunities to SBF students</w:t>
            </w:r>
            <w:r w:rsidR="0070386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to support job readiness workshops in final year</w:t>
            </w:r>
          </w:p>
          <w:p w14:paraId="3170C774" w14:textId="77777777" w:rsidR="00A43618" w:rsidRDefault="00703861" w:rsidP="00B30FE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Develop partnership framework agreements for approval by CEO</w:t>
            </w:r>
          </w:p>
          <w:p w14:paraId="2239B4A8" w14:textId="32154899" w:rsidR="00703861" w:rsidRDefault="00703861" w:rsidP="00B30FE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Oversee and monitor partnerships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4DA7" w14:textId="77777777" w:rsidR="00A43618" w:rsidRPr="006131D0" w:rsidRDefault="00A43618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59106725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3B42" w14:textId="637BAB54" w:rsidR="00071CF7" w:rsidRPr="006131D0" w:rsidRDefault="00AD66EF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Ad hoc support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82F1" w14:textId="0B614BB8" w:rsidR="009B1E13" w:rsidRDefault="00B30FEA" w:rsidP="00B30FE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Liaise with Psycho-social Support Unit in relation to 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 access to internal and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external 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SBF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service providers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>, in year one</w:t>
            </w:r>
          </w:p>
          <w:p w14:paraId="29D81357" w14:textId="109EE419" w:rsidR="00F65A53" w:rsidRPr="00F65A53" w:rsidRDefault="00B30FEA" w:rsidP="00F65A53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Collaborate closely with </w:t>
            </w:r>
            <w:r w:rsidR="00AD66EF">
              <w:rPr>
                <w:rFonts w:asciiTheme="majorHAnsi" w:eastAsia="Calibri" w:hAnsiTheme="majorHAnsi" w:cstheme="majorHAnsi"/>
                <w:sz w:val="24"/>
                <w:szCs w:val="24"/>
              </w:rPr>
              <w:t>Manager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Psycho-social </w:t>
            </w:r>
            <w:r w:rsidR="00AD66EF">
              <w:rPr>
                <w:rFonts w:asciiTheme="majorHAnsi" w:eastAsia="Calibr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upport Unit in relation to 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>year one student i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nterventions, ensuring seamless interfaces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CB91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19801C1E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EBB9" w14:textId="4A198B71" w:rsidR="00071CF7" w:rsidRDefault="00F5294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Reporting</w:t>
            </w:r>
            <w:r w:rsidR="00DA4A4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, monitoring </w:t>
            </w:r>
            <w:r w:rsidR="009E537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&amp;</w:t>
            </w:r>
            <w:r w:rsidR="00DA4A4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  <w:proofErr w:type="gramStart"/>
            <w:r w:rsidR="00DA4A4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evaluation</w:t>
            </w:r>
            <w:proofErr w:type="gramEnd"/>
            <w:r w:rsidR="009E537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and knowledge management</w:t>
            </w:r>
          </w:p>
          <w:p w14:paraId="2A2D3BF6" w14:textId="078A5184" w:rsidR="00DA4A4E" w:rsidRPr="006131D0" w:rsidRDefault="00DA4A4E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DF4" w14:textId="0FEBA21B" w:rsidR="009E5374" w:rsidRDefault="009E5374" w:rsidP="00116804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Undertake all required reporting within the Programme, delivering timeous, accurate and complete reports</w:t>
            </w:r>
          </w:p>
          <w:p w14:paraId="297DBAD0" w14:textId="2834005E" w:rsidR="009E5374" w:rsidRDefault="009E5374" w:rsidP="009E5374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Support the implementation of M&amp;E through implementing system to identify, analyse and disseminate lessons learnt from programme activities</w:t>
            </w:r>
          </w:p>
          <w:p w14:paraId="7B65566E" w14:textId="77777777" w:rsidR="009E5374" w:rsidRDefault="009E5374" w:rsidP="009E5374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nsure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the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incorporation of evidence-based knowledge into programme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design and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delivery</w:t>
            </w:r>
          </w:p>
          <w:p w14:paraId="24620D1B" w14:textId="1A6F7E7F" w:rsidR="008C4754" w:rsidRPr="00A218E1" w:rsidRDefault="00C47BB6" w:rsidP="00A218E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Ensure the accurate and timeous capturing of all data into </w:t>
            </w:r>
            <w:r w:rsidR="008C4754">
              <w:rPr>
                <w:rFonts w:asciiTheme="majorHAnsi" w:eastAsia="Calibri" w:hAnsiTheme="majorHAnsi" w:cstheme="majorHAnsi"/>
                <w:sz w:val="24"/>
                <w:szCs w:val="24"/>
              </w:rPr>
              <w:t>SBF data collection tool, overseeing and monitoring the work undertaken by the respective team members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9C40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26E9731B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AA19" w14:textId="44F447C4" w:rsidR="00071CF7" w:rsidRPr="006131D0" w:rsidRDefault="00F5294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Communications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7D5B" w14:textId="2C334A35" w:rsidR="00F72745" w:rsidRDefault="00A218E1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Contribute to and support the organisational communication strategy</w:t>
            </w:r>
          </w:p>
          <w:p w14:paraId="4C74083F" w14:textId="77777777" w:rsidR="00A218E1" w:rsidRDefault="00A218E1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Represent the organisation at various external forums</w:t>
            </w:r>
          </w:p>
          <w:p w14:paraId="03106ABC" w14:textId="6B216181" w:rsidR="00A218E1" w:rsidRPr="006131D0" w:rsidRDefault="00A218E1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Contribute content to internal and external communication platforms, providing both programme and scholar related content, complying with POPI in relation to both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661F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78CB6DD1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5F82" w14:textId="57199A5B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Operational planning and management</w:t>
            </w:r>
          </w:p>
          <w:p w14:paraId="551504E7" w14:textId="64FCF395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C4FE" w14:textId="03D565A5" w:rsidR="00940B55" w:rsidRPr="006131D0" w:rsidRDefault="00940B55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Implement all operational policies, procedures,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systems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infrastructure, as directed by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the CEO</w:t>
            </w:r>
          </w:p>
          <w:p w14:paraId="43672AC7" w14:textId="7B218C34" w:rsidR="00940B55" w:rsidRPr="006131D0" w:rsidRDefault="00940B55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Support the reviewing of policies on an annual basis, recommending changes to the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CEO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as appropriate</w:t>
            </w:r>
          </w:p>
          <w:p w14:paraId="67E0DA59" w14:textId="77777777" w:rsidR="00940B55" w:rsidRPr="006131D0" w:rsidRDefault="00940B55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Deliver a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high quality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service providing for current and future growth</w:t>
            </w:r>
          </w:p>
          <w:p w14:paraId="0C5C19C5" w14:textId="0938F9C7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Deliver efficient and effective day-to-day operational services</w:t>
            </w:r>
          </w:p>
          <w:p w14:paraId="2269EEC2" w14:textId="55A59130" w:rsidR="00071CF7" w:rsidRPr="00DA4A4E" w:rsidRDefault="00071CF7" w:rsidP="00DA4A4E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C697D">
              <w:rPr>
                <w:rFonts w:asciiTheme="majorHAnsi" w:eastAsia="Calibri" w:hAnsiTheme="majorHAnsi" w:cstheme="majorHAnsi"/>
                <w:sz w:val="24"/>
                <w:szCs w:val="24"/>
              </w:rPr>
              <w:t>Undertake all administrative/IT responsibilities to support the organisation’s operations in areas of direct responsibility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, overseeing staff in same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3DF9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50457B73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F4CF" w14:textId="183171A0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Financial Sustainability 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5B4D" w14:textId="4576DD55" w:rsidR="00DA4A4E" w:rsidRDefault="00DA4A4E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Develop the budget for the 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>Post-secondary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programme, contributing to the development of the overall programme budget, for approval by CEO</w:t>
            </w:r>
          </w:p>
          <w:p w14:paraId="01D63715" w14:textId="36304C50" w:rsidR="00DA4A4E" w:rsidRDefault="00DA4A4E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Participate in and undertake cost benefit analysis in relation to programme goals and expenditure against budget</w:t>
            </w:r>
          </w:p>
          <w:p w14:paraId="056DC7A5" w14:textId="64FDAC88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Approve and monitor expenditure within authority delegated by the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CEO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in accordance with the approved budget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financial policies</w:t>
            </w:r>
          </w:p>
          <w:p w14:paraId="180FCD92" w14:textId="6C0E7776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Operate within scope of sound financial controls</w:t>
            </w:r>
          </w:p>
          <w:p w14:paraId="7922DD2E" w14:textId="03EB85B2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Provide the </w:t>
            </w:r>
            <w:r w:rsidR="00DA4A4E">
              <w:rPr>
                <w:rFonts w:asciiTheme="majorHAnsi" w:eastAsia="Calibri" w:hAnsiTheme="majorHAnsi" w:cstheme="majorHAnsi"/>
                <w:sz w:val="24"/>
                <w:szCs w:val="24"/>
              </w:rPr>
              <w:t>CEO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with honest,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comprehensive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timely reporting, as required</w:t>
            </w:r>
          </w:p>
          <w:p w14:paraId="1CD98CEB" w14:textId="61D9597C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Adhere to all legal requirements in relation to the management of the organisation’s finances, supporting regular, thorough audit and reporting mechanisms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CC17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358082B8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157A" w14:textId="07CEFCB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Ethics, Compliance &amp; Risk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4840" w14:textId="77777777" w:rsidR="00071CF7" w:rsidRPr="00DA4A4E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Ethics</w:t>
            </w:r>
          </w:p>
          <w:p w14:paraId="47161039" w14:textId="1208C7A4" w:rsidR="00071CF7" w:rsidRPr="00DA4A4E" w:rsidRDefault="00071CF7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Maintain highest ethical standards, supporting all mechanisms required to ensure this</w:t>
            </w:r>
          </w:p>
          <w:p w14:paraId="2AC1AFA1" w14:textId="141DB5E2" w:rsidR="00071CF7" w:rsidRPr="00DA4A4E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Compliance</w:t>
            </w:r>
          </w:p>
          <w:p w14:paraId="637B8156" w14:textId="60E1A18A" w:rsidR="00071CF7" w:rsidRPr="00DA4A4E" w:rsidRDefault="00071CF7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Comply with all Finance</w:t>
            </w:r>
            <w:r w:rsidR="00A8612E"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HR </w:t>
            </w: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legislation</w:t>
            </w:r>
          </w:p>
          <w:p w14:paraId="4AFF10CF" w14:textId="636E0FAD" w:rsidR="00A8612E" w:rsidRDefault="00A8612E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Comply will all child safeguarding legislation, internally and externally, including but not limited to, both the Children’s Act and Protection of Private Information Act</w:t>
            </w:r>
          </w:p>
          <w:p w14:paraId="105C3FFC" w14:textId="446280E9" w:rsidR="008C4754" w:rsidRPr="00A218E1" w:rsidRDefault="00A218E1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18E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Adhere to </w:t>
            </w:r>
            <w:r w:rsidR="008C4754" w:rsidRPr="00A218E1">
              <w:rPr>
                <w:rFonts w:asciiTheme="majorHAnsi" w:eastAsia="Calibri" w:hAnsiTheme="majorHAnsi" w:cstheme="majorHAnsi"/>
                <w:sz w:val="24"/>
                <w:szCs w:val="24"/>
              </w:rPr>
              <w:t>Industry st</w:t>
            </w:r>
            <w:r w:rsidRPr="00A218E1">
              <w:rPr>
                <w:rFonts w:asciiTheme="majorHAnsi" w:eastAsia="Calibri" w:hAnsiTheme="majorHAnsi" w:cstheme="majorHAnsi"/>
                <w:sz w:val="24"/>
                <w:szCs w:val="24"/>
              </w:rPr>
              <w:t>andar</w:t>
            </w:r>
            <w:r w:rsidR="008C4754" w:rsidRPr="00A218E1">
              <w:rPr>
                <w:rFonts w:asciiTheme="majorHAnsi" w:eastAsia="Calibri" w:hAnsiTheme="majorHAnsi" w:cstheme="majorHAnsi"/>
                <w:sz w:val="24"/>
                <w:szCs w:val="24"/>
              </w:rPr>
              <w:t>ds</w:t>
            </w:r>
          </w:p>
          <w:p w14:paraId="3C89A84B" w14:textId="77777777" w:rsidR="00071CF7" w:rsidRPr="00DA4A4E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Risk</w:t>
            </w:r>
          </w:p>
          <w:p w14:paraId="58F79D70" w14:textId="77777777" w:rsidR="00A8612E" w:rsidRPr="00DA4A4E" w:rsidRDefault="00A8612E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eastAsia="Calibri" w:hAnsiTheme="majorHAnsi" w:cstheme="majorHAnsi"/>
                <w:sz w:val="24"/>
                <w:szCs w:val="24"/>
              </w:rPr>
              <w:t>Contribute to the development of the organisation’s Risk Plan</w:t>
            </w:r>
          </w:p>
          <w:p w14:paraId="2A8B2FC7" w14:textId="77777777" w:rsidR="00A8612E" w:rsidRPr="00A8612E" w:rsidRDefault="00A8612E" w:rsidP="00BC697D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A4A4E">
              <w:rPr>
                <w:rFonts w:asciiTheme="majorHAnsi" w:hAnsiTheme="majorHAnsi" w:cstheme="majorHAnsi"/>
                <w:sz w:val="24"/>
                <w:szCs w:val="24"/>
              </w:rPr>
              <w:t>Monitor the risk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plan in area of responsibility, </w:t>
            </w:r>
          </w:p>
          <w:p w14:paraId="55953967" w14:textId="6B1AE85B" w:rsidR="00A8612E" w:rsidRPr="00A8612E" w:rsidRDefault="00A8612E" w:rsidP="00A8612E">
            <w:pPr>
              <w:widowControl w:val="0"/>
              <w:numPr>
                <w:ilvl w:val="2"/>
                <w:numId w:val="6"/>
              </w:numPr>
              <w:spacing w:after="160" w:line="256" w:lineRule="auto"/>
              <w:ind w:left="887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pro-actively identifying</w:t>
            </w:r>
            <w:r w:rsidR="007D0F1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current and future risks, </w:t>
            </w:r>
          </w:p>
          <w:p w14:paraId="1492ABF0" w14:textId="0C568F84" w:rsidR="00071CF7" w:rsidRPr="00A8612E" w:rsidRDefault="00A8612E" w:rsidP="00A8612E">
            <w:pPr>
              <w:widowControl w:val="0"/>
              <w:numPr>
                <w:ilvl w:val="2"/>
                <w:numId w:val="6"/>
              </w:numPr>
              <w:spacing w:after="160" w:line="256" w:lineRule="auto"/>
              <w:ind w:left="887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implementing timeous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A8612E">
              <w:rPr>
                <w:rFonts w:asciiTheme="majorHAnsi" w:hAnsiTheme="majorHAnsi" w:cstheme="majorHAnsi"/>
                <w:sz w:val="24"/>
                <w:szCs w:val="24"/>
              </w:rPr>
              <w:t xml:space="preserve">interventions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to mitigate risk and</w:t>
            </w:r>
          </w:p>
          <w:p w14:paraId="3568C77B" w14:textId="77777777" w:rsidR="00A8612E" w:rsidRDefault="00A8612E" w:rsidP="00A8612E">
            <w:pPr>
              <w:widowControl w:val="0"/>
              <w:numPr>
                <w:ilvl w:val="2"/>
                <w:numId w:val="6"/>
              </w:numPr>
              <w:spacing w:after="160" w:line="256" w:lineRule="auto"/>
              <w:ind w:left="887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escalating, as required</w:t>
            </w:r>
          </w:p>
          <w:p w14:paraId="0CAF9D06" w14:textId="7D7308C4" w:rsidR="00A8612E" w:rsidRPr="00A8612E" w:rsidRDefault="00A8612E" w:rsidP="00A8612E">
            <w:pPr>
              <w:widowControl w:val="0"/>
              <w:numPr>
                <w:ilvl w:val="1"/>
                <w:numId w:val="6"/>
              </w:numPr>
              <w:spacing w:after="160" w:line="256" w:lineRule="auto"/>
              <w:ind w:left="614" w:hanging="284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Report regularly on risk plan, as required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AF65" w14:textId="77777777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C697D" w:rsidRPr="006131D0" w14:paraId="02B0FCE5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7BD" w14:textId="4729172A" w:rsidR="00071CF7" w:rsidRPr="006131D0" w:rsidRDefault="00071CF7" w:rsidP="00071CF7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Human Resources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68C1" w14:textId="270ADBC9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Support the recruitment,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management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development of high performing staff, who are able to deliver on the organisation’s vision and goals</w:t>
            </w:r>
          </w:p>
          <w:p w14:paraId="163E7EFC" w14:textId="629C68D6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Provide leadership and oversight to all</w:t>
            </w:r>
            <w:r w:rsidRPr="00BC697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direct reports</w:t>
            </w: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, holding staff accountable to their individual key performance areas and goals</w:t>
            </w:r>
          </w:p>
          <w:p w14:paraId="669E6FCE" w14:textId="4EA034E0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Train </w:t>
            </w:r>
            <w:r w:rsidR="009461A6">
              <w:rPr>
                <w:rFonts w:asciiTheme="majorHAnsi" w:eastAsia="Calibri" w:hAnsiTheme="majorHAnsi" w:cstheme="majorHAnsi"/>
                <w:sz w:val="24"/>
                <w:szCs w:val="24"/>
              </w:rPr>
              <w:t>new staff</w:t>
            </w:r>
            <w:r w:rsidR="00760D8A">
              <w:rPr>
                <w:rFonts w:asciiTheme="majorHAnsi" w:eastAsia="Calibri" w:hAnsiTheme="majorHAnsi" w:cstheme="majorHAnsi"/>
                <w:sz w:val="24"/>
                <w:szCs w:val="24"/>
              </w:rPr>
              <w:t>, including direct reports and other staff members, as required</w:t>
            </w:r>
          </w:p>
          <w:p w14:paraId="405E6DC4" w14:textId="15D9AF33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Adhere to the fair application of HR policies and procedures </w:t>
            </w:r>
          </w:p>
          <w:p w14:paraId="41E0B76E" w14:textId="691F2EAF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Contribute to a positive, </w:t>
            </w:r>
            <w:proofErr w:type="gramStart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safe</w:t>
            </w:r>
            <w:proofErr w:type="gramEnd"/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healthy work environment</w:t>
            </w:r>
          </w:p>
          <w:p w14:paraId="5C4D89E2" w14:textId="77777777" w:rsidR="00071CF7" w:rsidRPr="006131D0" w:rsidRDefault="00071CF7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Undertake orientation of direct reporting staff when entering the organisation and offer mentoring, training and development as required</w:t>
            </w:r>
          </w:p>
          <w:p w14:paraId="6096B105" w14:textId="06C2256B" w:rsidR="00A678A5" w:rsidRPr="006131D0" w:rsidRDefault="00A678A5" w:rsidP="00BC697D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>Undertake skills transfer and succession planning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958D" w14:textId="4A4CF133" w:rsidR="00071CF7" w:rsidRPr="006131D0" w:rsidRDefault="00071CF7" w:rsidP="00071CF7">
            <w:pPr>
              <w:widowControl w:val="0"/>
              <w:spacing w:line="240" w:lineRule="auto"/>
              <w:ind w:left="36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C4459" w:rsidRPr="006131D0" w14:paraId="1C1C0747" w14:textId="77777777" w:rsidTr="008248D1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F554" w14:textId="77D9EE51" w:rsidR="00EC4459" w:rsidRPr="006131D0" w:rsidRDefault="00EC4459" w:rsidP="00EC4459">
            <w:pPr>
              <w:widowControl w:val="0"/>
              <w:spacing w:line="240" w:lineRule="auto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Organisational requirement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7FBD" w14:textId="7E988039" w:rsidR="00EC4459" w:rsidRPr="006131D0" w:rsidRDefault="00EC4459" w:rsidP="00EC4459">
            <w:pPr>
              <w:widowControl w:val="0"/>
              <w:numPr>
                <w:ilvl w:val="0"/>
                <w:numId w:val="2"/>
              </w:numPr>
              <w:spacing w:after="160" w:line="256" w:lineRule="auto"/>
              <w:ind w:left="330" w:hanging="283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10 - 15% of your work will involve undertaking responsibilities outside of your core job description, as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per the needs of the organisation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8F9" w14:textId="77777777" w:rsidR="00EC4459" w:rsidRPr="006131D0" w:rsidRDefault="00EC4459" w:rsidP="00EC4459">
            <w:pPr>
              <w:widowControl w:val="0"/>
              <w:spacing w:line="240" w:lineRule="auto"/>
              <w:ind w:left="36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CFEFB9C" w14:textId="5BD5653D" w:rsidR="00AA3602" w:rsidRPr="006131D0" w:rsidRDefault="00AA3602">
      <w:pPr>
        <w:rPr>
          <w:rFonts w:asciiTheme="majorHAnsi" w:hAnsiTheme="majorHAnsi"/>
          <w:sz w:val="24"/>
          <w:szCs w:val="24"/>
        </w:rPr>
      </w:pPr>
    </w:p>
    <w:p w14:paraId="36B9ACE9" w14:textId="77777777" w:rsidR="00CE7046" w:rsidRPr="006131D0" w:rsidRDefault="00CE704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590"/>
        <w:gridCol w:w="6192"/>
      </w:tblGrid>
      <w:tr w:rsidR="00C82B69" w:rsidRPr="006131D0" w14:paraId="78A2A9C3" w14:textId="77777777" w:rsidTr="00735094">
        <w:tc>
          <w:tcPr>
            <w:tcW w:w="9782" w:type="dxa"/>
            <w:gridSpan w:val="2"/>
            <w:vAlign w:val="center"/>
          </w:tcPr>
          <w:p w14:paraId="64D2138E" w14:textId="15BCD0FB" w:rsidR="00C82B69" w:rsidRPr="006131D0" w:rsidRDefault="00C82B69" w:rsidP="00C82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REPORTING STRUCTURE</w:t>
            </w:r>
          </w:p>
        </w:tc>
      </w:tr>
      <w:tr w:rsidR="00C82B69" w:rsidRPr="006131D0" w14:paraId="4AA902AC" w14:textId="77777777" w:rsidTr="00735094">
        <w:tc>
          <w:tcPr>
            <w:tcW w:w="3590" w:type="dxa"/>
          </w:tcPr>
          <w:p w14:paraId="135797C0" w14:textId="69563733" w:rsidR="00C82B69" w:rsidRPr="006131D0" w:rsidRDefault="00C82B69" w:rsidP="00C82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THIS POSITION REPORTS TO</w:t>
            </w:r>
          </w:p>
        </w:tc>
        <w:tc>
          <w:tcPr>
            <w:tcW w:w="6192" w:type="dxa"/>
          </w:tcPr>
          <w:p w14:paraId="2265689C" w14:textId="1196873B" w:rsidR="00C82B69" w:rsidRPr="006131D0" w:rsidRDefault="00DE4DA2" w:rsidP="00C82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Head of Programmes</w:t>
            </w:r>
          </w:p>
        </w:tc>
      </w:tr>
      <w:tr w:rsidR="00C82B69" w:rsidRPr="006131D0" w14:paraId="1C558BED" w14:textId="77777777" w:rsidTr="00735094">
        <w:tc>
          <w:tcPr>
            <w:tcW w:w="3590" w:type="dxa"/>
          </w:tcPr>
          <w:p w14:paraId="50D867E2" w14:textId="56B2CFF9" w:rsidR="00C82B69" w:rsidRPr="006131D0" w:rsidRDefault="00C82B69" w:rsidP="00C82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THESE POSTS REPORT INTO THIS POSITION</w:t>
            </w:r>
          </w:p>
        </w:tc>
        <w:tc>
          <w:tcPr>
            <w:tcW w:w="6192" w:type="dxa"/>
          </w:tcPr>
          <w:p w14:paraId="19163C6B" w14:textId="3CD336FE" w:rsidR="00C82B69" w:rsidRPr="006131D0" w:rsidRDefault="009B1E13" w:rsidP="00C82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Post-secondary</w:t>
            </w:r>
            <w:r w:rsidR="00DE4DA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 Coordinators</w:t>
            </w:r>
          </w:p>
        </w:tc>
      </w:tr>
    </w:tbl>
    <w:p w14:paraId="7D128CA8" w14:textId="77777777" w:rsidR="00377E13" w:rsidRPr="006131D0" w:rsidRDefault="00377E13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</w:p>
    <w:p w14:paraId="2154BD97" w14:textId="77777777" w:rsidR="00660FC0" w:rsidRPr="006131D0" w:rsidRDefault="00660FC0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532"/>
        <w:gridCol w:w="2806"/>
        <w:gridCol w:w="3444"/>
      </w:tblGrid>
      <w:tr w:rsidR="003860E4" w:rsidRPr="006131D0" w14:paraId="7FE7DB87" w14:textId="77777777" w:rsidTr="00735094">
        <w:trPr>
          <w:trHeight w:val="535"/>
        </w:trPr>
        <w:tc>
          <w:tcPr>
            <w:tcW w:w="3532" w:type="dxa"/>
            <w:vAlign w:val="center"/>
          </w:tcPr>
          <w:p w14:paraId="051EA8D9" w14:textId="7E3B796C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APPROVAL</w:t>
            </w:r>
          </w:p>
        </w:tc>
        <w:tc>
          <w:tcPr>
            <w:tcW w:w="2806" w:type="dxa"/>
            <w:vAlign w:val="center"/>
          </w:tcPr>
          <w:p w14:paraId="04404CE6" w14:textId="0D7AD695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3444" w:type="dxa"/>
            <w:vAlign w:val="center"/>
          </w:tcPr>
          <w:p w14:paraId="31D2D2A5" w14:textId="3C86D2A5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SIGNATURE</w:t>
            </w:r>
          </w:p>
        </w:tc>
      </w:tr>
      <w:tr w:rsidR="003860E4" w:rsidRPr="006131D0" w14:paraId="6D0579C7" w14:textId="77777777" w:rsidTr="00735094">
        <w:tc>
          <w:tcPr>
            <w:tcW w:w="3532" w:type="dxa"/>
            <w:vAlign w:val="center"/>
          </w:tcPr>
          <w:p w14:paraId="7CDDD734" w14:textId="4CE0A60C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Employee: </w:t>
            </w:r>
            <w:r w:rsidR="00B03D5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MANAGER </w:t>
            </w:r>
            <w:r w:rsidR="009B1E13">
              <w:rPr>
                <w:rFonts w:asciiTheme="majorHAnsi" w:eastAsia="Calibri" w:hAnsiTheme="majorHAnsi" w:cstheme="majorHAnsi"/>
                <w:sz w:val="24"/>
                <w:szCs w:val="24"/>
              </w:rPr>
              <w:t>POST SECONDARY</w:t>
            </w:r>
            <w:r w:rsidR="00B03D5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PROGRAMMES</w:t>
            </w:r>
          </w:p>
        </w:tc>
        <w:tc>
          <w:tcPr>
            <w:tcW w:w="2806" w:type="dxa"/>
            <w:vAlign w:val="center"/>
          </w:tcPr>
          <w:p w14:paraId="6595EE2F" w14:textId="77777777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43DF6A80" w14:textId="77777777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860E4" w:rsidRPr="006131D0" w14:paraId="304FBE12" w14:textId="77777777" w:rsidTr="00735094">
        <w:tc>
          <w:tcPr>
            <w:tcW w:w="3532" w:type="dxa"/>
            <w:vAlign w:val="center"/>
          </w:tcPr>
          <w:p w14:paraId="061DB9DD" w14:textId="76215669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131D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For employer: </w:t>
            </w:r>
            <w:r w:rsidR="00DE4DA2">
              <w:rPr>
                <w:rFonts w:asciiTheme="majorHAnsi" w:eastAsia="Calibr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2806" w:type="dxa"/>
            <w:vAlign w:val="center"/>
          </w:tcPr>
          <w:p w14:paraId="3D6FFC6C" w14:textId="77777777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0C338A5D" w14:textId="77777777" w:rsidR="003860E4" w:rsidRPr="006131D0" w:rsidRDefault="003860E4" w:rsidP="0038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A7BD3ED" w14:textId="7D9AC672" w:rsidR="003860E4" w:rsidRDefault="003860E4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</w:p>
    <w:p w14:paraId="35BBED70" w14:textId="77777777" w:rsidR="00165EDD" w:rsidRPr="006131D0" w:rsidRDefault="00165EDD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36"/>
        <w:gridCol w:w="7646"/>
      </w:tblGrid>
      <w:tr w:rsidR="00165EDD" w:rsidRPr="00491696" w14:paraId="1C997A2A" w14:textId="77777777" w:rsidTr="00735094">
        <w:tc>
          <w:tcPr>
            <w:tcW w:w="9782" w:type="dxa"/>
            <w:gridSpan w:val="2"/>
            <w:vAlign w:val="center"/>
          </w:tcPr>
          <w:p w14:paraId="0590BC6E" w14:textId="77777777" w:rsidR="00165EDD" w:rsidRPr="00735094" w:rsidRDefault="00165ED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3509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REQUIREMENTS OF JOB</w:t>
            </w:r>
          </w:p>
        </w:tc>
      </w:tr>
      <w:tr w:rsidR="00165EDD" w:rsidRPr="00491696" w14:paraId="12DAD158" w14:textId="77777777" w:rsidTr="00735094">
        <w:tc>
          <w:tcPr>
            <w:tcW w:w="2136" w:type="dxa"/>
          </w:tcPr>
          <w:p w14:paraId="46F06B8F" w14:textId="77777777" w:rsidR="00165EDD" w:rsidRPr="00735094" w:rsidRDefault="00165ED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3509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Qualifications</w:t>
            </w:r>
          </w:p>
        </w:tc>
        <w:tc>
          <w:tcPr>
            <w:tcW w:w="7646" w:type="dxa"/>
          </w:tcPr>
          <w:p w14:paraId="5EB7F4F7" w14:textId="72B219DD" w:rsidR="00EA4E8D" w:rsidRDefault="00EA4E8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Relevant </w:t>
            </w:r>
            <w:r w:rsidR="007D0F1F">
              <w:rPr>
                <w:rFonts w:asciiTheme="majorHAnsi" w:eastAsia="Calibri" w:hAnsiTheme="majorHAnsi" w:cstheme="majorHAnsi"/>
                <w:sz w:val="24"/>
                <w:szCs w:val="24"/>
              </w:rPr>
              <w:t>3-year</w:t>
            </w:r>
            <w:r w:rsidR="00752DE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qualification</w:t>
            </w:r>
          </w:p>
          <w:p w14:paraId="105B1FAC" w14:textId="6C01CC82" w:rsidR="009B1E13" w:rsidRPr="00735094" w:rsidRDefault="009B1E13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Programme/project management</w:t>
            </w:r>
            <w:r w:rsidR="006A516E">
              <w:rPr>
                <w:rFonts w:asciiTheme="majorHAnsi" w:eastAsia="Calibri" w:hAnsiTheme="majorHAnsi" w:cstheme="majorHAnsi"/>
                <w:sz w:val="24"/>
                <w:szCs w:val="24"/>
              </w:rPr>
              <w:t>/education/social science</w:t>
            </w:r>
          </w:p>
        </w:tc>
      </w:tr>
      <w:tr w:rsidR="00165EDD" w:rsidRPr="00491696" w14:paraId="5FEA53A1" w14:textId="77777777" w:rsidTr="00735094">
        <w:tc>
          <w:tcPr>
            <w:tcW w:w="2136" w:type="dxa"/>
          </w:tcPr>
          <w:p w14:paraId="6F9DD7DC" w14:textId="77777777" w:rsidR="00165EDD" w:rsidRPr="00735094" w:rsidRDefault="00165ED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3509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7646" w:type="dxa"/>
          </w:tcPr>
          <w:p w14:paraId="0ED6E4B1" w14:textId="0E4C6F14" w:rsidR="00165EDD" w:rsidRDefault="00C47A03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  <w:r w:rsidR="00EA4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years overall relevant experience, of which at least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  <w:r w:rsidR="00EA4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is in programme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/project</w:t>
            </w:r>
            <w:r w:rsidR="00EA4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management or supervision</w:t>
            </w:r>
          </w:p>
          <w:p w14:paraId="02ECF3F4" w14:textId="77777777" w:rsidR="003238F9" w:rsidRDefault="003238F9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Experience in tertiary education administration and support would be an advantage</w:t>
            </w:r>
          </w:p>
          <w:p w14:paraId="156F0A49" w14:textId="3C50CD9E" w:rsidR="003C4EA6" w:rsidRPr="00735094" w:rsidRDefault="003C4EA6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Experience as </w:t>
            </w:r>
            <w:r w:rsidR="003238F9">
              <w:rPr>
                <w:rFonts w:asciiTheme="majorHAnsi" w:eastAsia="Calibri" w:hAnsiTheme="majorHAnsi" w:cstheme="majorHAnsi"/>
                <w:sz w:val="24"/>
                <w:szCs w:val="24"/>
              </w:rPr>
              <w:t>a programme or project manager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would be an advantage</w:t>
            </w:r>
          </w:p>
        </w:tc>
      </w:tr>
      <w:tr w:rsidR="00165EDD" w:rsidRPr="00491696" w14:paraId="7FAB970C" w14:textId="77777777" w:rsidTr="00735094">
        <w:tc>
          <w:tcPr>
            <w:tcW w:w="2136" w:type="dxa"/>
          </w:tcPr>
          <w:p w14:paraId="3B9741C6" w14:textId="77777777" w:rsidR="00165EDD" w:rsidRPr="00735094" w:rsidRDefault="00165ED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3509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7646" w:type="dxa"/>
          </w:tcPr>
          <w:p w14:paraId="0046123F" w14:textId="232BEC64" w:rsidR="00165EDD" w:rsidRDefault="00EA4E8D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Project/programme management</w:t>
            </w:r>
            <w:r w:rsidR="003C4EA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skills and knowledge</w:t>
            </w:r>
          </w:p>
          <w:p w14:paraId="5CA309E2" w14:textId="673CF020" w:rsidR="00EA4E8D" w:rsidRDefault="00EA4E8D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South African </w:t>
            </w:r>
            <w:r w:rsidR="003238F9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higher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educational </w:t>
            </w:r>
            <w:r w:rsidR="003C4EA6">
              <w:rPr>
                <w:rFonts w:asciiTheme="majorHAnsi" w:eastAsia="Calibri" w:hAnsiTheme="majorHAnsi" w:cstheme="majorHAnsi"/>
                <w:sz w:val="24"/>
                <w:szCs w:val="24"/>
              </w:rPr>
              <w:t>system and context and how to work within it</w:t>
            </w:r>
          </w:p>
          <w:p w14:paraId="6644DFB2" w14:textId="77777777" w:rsidR="003C4EA6" w:rsidRDefault="003C4EA6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Understanding of complexity of diversity and discrimination across all factors, including but not limited to class, race, gender, sexual orientation, ethnic origin, </w:t>
            </w: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culture</w:t>
            </w:r>
            <w:proofErr w:type="gram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religion</w:t>
            </w:r>
          </w:p>
          <w:p w14:paraId="122B3618" w14:textId="77777777" w:rsidR="003C4EA6" w:rsidRDefault="003C4EA6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Multi-lingual (Xhosa and Afrikaans) would be an advantage</w:t>
            </w:r>
          </w:p>
          <w:p w14:paraId="547EDA2E" w14:textId="77777777" w:rsidR="003C4EA6" w:rsidRDefault="003C4EA6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Case management, </w:t>
            </w: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documentation</w:t>
            </w:r>
            <w:proofErr w:type="gram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reporting skills</w:t>
            </w:r>
          </w:p>
          <w:p w14:paraId="0E7A2A0B" w14:textId="1913679F" w:rsidR="003C4EA6" w:rsidRPr="00735094" w:rsidRDefault="003C4EA6" w:rsidP="00BA05E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Stakeholder/client/partner management</w:t>
            </w:r>
          </w:p>
        </w:tc>
      </w:tr>
      <w:tr w:rsidR="00165EDD" w14:paraId="6BD7845D" w14:textId="77777777" w:rsidTr="00735094">
        <w:tc>
          <w:tcPr>
            <w:tcW w:w="2136" w:type="dxa"/>
          </w:tcPr>
          <w:p w14:paraId="74CEAA42" w14:textId="77777777" w:rsidR="00165EDD" w:rsidRPr="00735094" w:rsidRDefault="00165EDD" w:rsidP="00BA0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3509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Attributes</w:t>
            </w:r>
          </w:p>
        </w:tc>
        <w:tc>
          <w:tcPr>
            <w:tcW w:w="7646" w:type="dxa"/>
          </w:tcPr>
          <w:p w14:paraId="7DC048FB" w14:textId="41C84785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Strategic thinker</w:t>
            </w:r>
          </w:p>
          <w:p w14:paraId="7823DD65" w14:textId="10E35F00" w:rsidR="00165EDD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Excellent written and verbal communication skills</w:t>
            </w:r>
          </w:p>
          <w:p w14:paraId="1D240D4B" w14:textId="77777777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Team player/collaborative</w:t>
            </w:r>
          </w:p>
          <w:p w14:paraId="30493A03" w14:textId="6B090F21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Ability to set boundaries and maintain confidentiality</w:t>
            </w:r>
          </w:p>
          <w:p w14:paraId="11091D42" w14:textId="0AD20DDE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Resilient</w:t>
            </w:r>
          </w:p>
          <w:p w14:paraId="1FD005A7" w14:textId="77777777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Attention to detail</w:t>
            </w:r>
          </w:p>
          <w:p w14:paraId="5168CEA5" w14:textId="77777777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Community building skills</w:t>
            </w:r>
          </w:p>
          <w:p w14:paraId="59186920" w14:textId="77777777" w:rsidR="003C4EA6" w:rsidRDefault="003C4EA6" w:rsidP="00BA05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People skills</w:t>
            </w:r>
          </w:p>
          <w:p w14:paraId="26678149" w14:textId="0857C398" w:rsidR="003C4EA6" w:rsidRPr="003C4EA6" w:rsidRDefault="003C4EA6" w:rsidP="003C4EA6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Highly motivated and committed to excellence</w:t>
            </w:r>
          </w:p>
        </w:tc>
      </w:tr>
    </w:tbl>
    <w:p w14:paraId="28CFE801" w14:textId="1344873F" w:rsidR="00592E1B" w:rsidRPr="0090780C" w:rsidRDefault="00592E1B" w:rsidP="0090780C">
      <w:pPr>
        <w:ind w:left="0"/>
        <w:rPr>
          <w:b/>
        </w:rPr>
      </w:pPr>
    </w:p>
    <w:p w14:paraId="65CFEA8E" w14:textId="6972D08F" w:rsidR="003860E4" w:rsidRDefault="005E6DC2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Interested candidates must send a motivation letter highlighting your suitability to this role and an updated CV to </w:t>
      </w:r>
      <w:hyperlink r:id="rId8" w:history="1">
        <w:r w:rsidRPr="00410B60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rudayba@maraisbutton.co.za</w:t>
        </w:r>
      </w:hyperlink>
    </w:p>
    <w:p w14:paraId="52F33B9B" w14:textId="74B7FF59" w:rsidR="005E6DC2" w:rsidRDefault="005E6DC2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</w:p>
    <w:p w14:paraId="51CBEDC5" w14:textId="5485CBA7" w:rsidR="005E6DC2" w:rsidRPr="00EE3F0F" w:rsidRDefault="005E6DC2" w:rsidP="004A5FAC">
      <w:pPr>
        <w:ind w:left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Contact will only be made with shortlisted candidates.</w:t>
      </w:r>
    </w:p>
    <w:sectPr w:rsidR="005E6DC2" w:rsidRPr="00EE3F0F" w:rsidSect="00BC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8FD4" w14:textId="77777777" w:rsidR="00CD09E3" w:rsidRDefault="00CD09E3" w:rsidP="008F341A">
      <w:pPr>
        <w:spacing w:line="240" w:lineRule="auto"/>
      </w:pPr>
      <w:r>
        <w:separator/>
      </w:r>
    </w:p>
  </w:endnote>
  <w:endnote w:type="continuationSeparator" w:id="0">
    <w:p w14:paraId="51585559" w14:textId="77777777" w:rsidR="00CD09E3" w:rsidRDefault="00CD09E3" w:rsidP="008F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02C0" w14:textId="77777777" w:rsidR="008F341A" w:rsidRDefault="008F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29ED" w14:textId="77777777" w:rsidR="008F341A" w:rsidRDefault="008F3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046E" w14:textId="77777777" w:rsidR="008F341A" w:rsidRDefault="008F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4E34" w14:textId="77777777" w:rsidR="00CD09E3" w:rsidRDefault="00CD09E3" w:rsidP="008F341A">
      <w:pPr>
        <w:spacing w:line="240" w:lineRule="auto"/>
      </w:pPr>
      <w:r>
        <w:separator/>
      </w:r>
    </w:p>
  </w:footnote>
  <w:footnote w:type="continuationSeparator" w:id="0">
    <w:p w14:paraId="6000645C" w14:textId="77777777" w:rsidR="00CD09E3" w:rsidRDefault="00CD09E3" w:rsidP="008F3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D24" w14:textId="0794EDF2" w:rsidR="008F341A" w:rsidRDefault="008F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E09B" w14:textId="7779175B" w:rsidR="008F341A" w:rsidRDefault="008F3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9D9D" w14:textId="2F87CB74" w:rsidR="008F341A" w:rsidRDefault="008F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2BA"/>
    <w:multiLevelType w:val="multilevel"/>
    <w:tmpl w:val="6E7E6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F5F53"/>
    <w:multiLevelType w:val="hybridMultilevel"/>
    <w:tmpl w:val="55FE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604"/>
    <w:multiLevelType w:val="multilevel"/>
    <w:tmpl w:val="EF647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5199C"/>
    <w:multiLevelType w:val="hybridMultilevel"/>
    <w:tmpl w:val="69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33D57"/>
    <w:multiLevelType w:val="hybridMultilevel"/>
    <w:tmpl w:val="F3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81E"/>
    <w:multiLevelType w:val="multilevel"/>
    <w:tmpl w:val="CE925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A66D59"/>
    <w:multiLevelType w:val="hybridMultilevel"/>
    <w:tmpl w:val="EBFEF5A2"/>
    <w:lvl w:ilvl="0" w:tplc="499A00AE">
      <w:start w:val="28"/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47B3"/>
    <w:multiLevelType w:val="hybridMultilevel"/>
    <w:tmpl w:val="E4EA7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F659D"/>
    <w:multiLevelType w:val="multilevel"/>
    <w:tmpl w:val="2AF8A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D862A9"/>
    <w:multiLevelType w:val="multilevel"/>
    <w:tmpl w:val="53E2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B9461D"/>
    <w:multiLevelType w:val="multilevel"/>
    <w:tmpl w:val="EFEA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DF7C53"/>
    <w:multiLevelType w:val="hybridMultilevel"/>
    <w:tmpl w:val="7A70B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B195E"/>
    <w:multiLevelType w:val="hybridMultilevel"/>
    <w:tmpl w:val="C768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621FB"/>
    <w:multiLevelType w:val="hybridMultilevel"/>
    <w:tmpl w:val="0304F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1B7A8F"/>
    <w:multiLevelType w:val="multilevel"/>
    <w:tmpl w:val="22161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5F26B2"/>
    <w:multiLevelType w:val="multilevel"/>
    <w:tmpl w:val="80F01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C83E5E"/>
    <w:multiLevelType w:val="hybridMultilevel"/>
    <w:tmpl w:val="B3123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366BF"/>
    <w:multiLevelType w:val="multilevel"/>
    <w:tmpl w:val="13A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347C5D"/>
    <w:multiLevelType w:val="hybridMultilevel"/>
    <w:tmpl w:val="96DCF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C56BA"/>
    <w:multiLevelType w:val="hybridMultilevel"/>
    <w:tmpl w:val="B912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983"/>
    <w:multiLevelType w:val="multilevel"/>
    <w:tmpl w:val="E8A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71AD1"/>
    <w:multiLevelType w:val="multilevel"/>
    <w:tmpl w:val="D6224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BC420B"/>
    <w:multiLevelType w:val="hybridMultilevel"/>
    <w:tmpl w:val="AED4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73059"/>
    <w:multiLevelType w:val="hybridMultilevel"/>
    <w:tmpl w:val="F18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5A6F"/>
    <w:multiLevelType w:val="multilevel"/>
    <w:tmpl w:val="24F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A25496"/>
    <w:multiLevelType w:val="hybridMultilevel"/>
    <w:tmpl w:val="A7FCD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96EE7"/>
    <w:multiLevelType w:val="multilevel"/>
    <w:tmpl w:val="BBA66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1C50DF"/>
    <w:multiLevelType w:val="multilevel"/>
    <w:tmpl w:val="784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D4AE1"/>
    <w:multiLevelType w:val="multilevel"/>
    <w:tmpl w:val="B1C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F66C7"/>
    <w:multiLevelType w:val="multilevel"/>
    <w:tmpl w:val="3BE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0919CD"/>
    <w:multiLevelType w:val="multilevel"/>
    <w:tmpl w:val="EE1C2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1"/>
  </w:num>
  <w:num w:numId="8">
    <w:abstractNumId w:val="8"/>
  </w:num>
  <w:num w:numId="9">
    <w:abstractNumId w:val="2"/>
  </w:num>
  <w:num w:numId="10">
    <w:abstractNumId w:val="26"/>
  </w:num>
  <w:num w:numId="11">
    <w:abstractNumId w:val="1"/>
  </w:num>
  <w:num w:numId="12">
    <w:abstractNumId w:val="4"/>
  </w:num>
  <w:num w:numId="13">
    <w:abstractNumId w:val="20"/>
  </w:num>
  <w:num w:numId="14">
    <w:abstractNumId w:val="29"/>
  </w:num>
  <w:num w:numId="15">
    <w:abstractNumId w:val="17"/>
  </w:num>
  <w:num w:numId="16">
    <w:abstractNumId w:val="10"/>
  </w:num>
  <w:num w:numId="17">
    <w:abstractNumId w:val="24"/>
  </w:num>
  <w:num w:numId="18">
    <w:abstractNumId w:val="28"/>
  </w:num>
  <w:num w:numId="19">
    <w:abstractNumId w:val="27"/>
  </w:num>
  <w:num w:numId="20">
    <w:abstractNumId w:val="6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6"/>
  </w:num>
  <w:num w:numId="26">
    <w:abstractNumId w:val="18"/>
  </w:num>
  <w:num w:numId="27">
    <w:abstractNumId w:val="13"/>
  </w:num>
  <w:num w:numId="28">
    <w:abstractNumId w:val="25"/>
  </w:num>
  <w:num w:numId="29">
    <w:abstractNumId w:val="2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8"/>
    <w:rsid w:val="00011509"/>
    <w:rsid w:val="00012B3B"/>
    <w:rsid w:val="0002660C"/>
    <w:rsid w:val="00027D4F"/>
    <w:rsid w:val="00071CF7"/>
    <w:rsid w:val="00081592"/>
    <w:rsid w:val="000E1975"/>
    <w:rsid w:val="000E614C"/>
    <w:rsid w:val="000E743A"/>
    <w:rsid w:val="000F0C60"/>
    <w:rsid w:val="000F0C93"/>
    <w:rsid w:val="001073B2"/>
    <w:rsid w:val="00112B37"/>
    <w:rsid w:val="00112ED1"/>
    <w:rsid w:val="00115249"/>
    <w:rsid w:val="00116804"/>
    <w:rsid w:val="0015379D"/>
    <w:rsid w:val="00155A2F"/>
    <w:rsid w:val="001568B6"/>
    <w:rsid w:val="00165EDD"/>
    <w:rsid w:val="00177112"/>
    <w:rsid w:val="00184B5E"/>
    <w:rsid w:val="001A0D62"/>
    <w:rsid w:val="001B0AA2"/>
    <w:rsid w:val="001E1C07"/>
    <w:rsid w:val="001F3097"/>
    <w:rsid w:val="00213CBD"/>
    <w:rsid w:val="00255418"/>
    <w:rsid w:val="00256685"/>
    <w:rsid w:val="002A0EAE"/>
    <w:rsid w:val="002A608B"/>
    <w:rsid w:val="002A67D2"/>
    <w:rsid w:val="002B09E2"/>
    <w:rsid w:val="00304D62"/>
    <w:rsid w:val="00310DE7"/>
    <w:rsid w:val="00312DE9"/>
    <w:rsid w:val="003238F9"/>
    <w:rsid w:val="00377E13"/>
    <w:rsid w:val="003806F9"/>
    <w:rsid w:val="00382884"/>
    <w:rsid w:val="003860E4"/>
    <w:rsid w:val="00386A87"/>
    <w:rsid w:val="00392B81"/>
    <w:rsid w:val="00397A48"/>
    <w:rsid w:val="003C05D6"/>
    <w:rsid w:val="003C064D"/>
    <w:rsid w:val="003C4EA6"/>
    <w:rsid w:val="003C5371"/>
    <w:rsid w:val="003F2C76"/>
    <w:rsid w:val="00442F43"/>
    <w:rsid w:val="00445845"/>
    <w:rsid w:val="004763F6"/>
    <w:rsid w:val="004A5FAC"/>
    <w:rsid w:val="004B5510"/>
    <w:rsid w:val="004B7F43"/>
    <w:rsid w:val="004D60DE"/>
    <w:rsid w:val="00532E31"/>
    <w:rsid w:val="0053365D"/>
    <w:rsid w:val="005453D4"/>
    <w:rsid w:val="005655C4"/>
    <w:rsid w:val="0057786D"/>
    <w:rsid w:val="005869CE"/>
    <w:rsid w:val="00592E1B"/>
    <w:rsid w:val="005B278D"/>
    <w:rsid w:val="005B297C"/>
    <w:rsid w:val="005C41A9"/>
    <w:rsid w:val="005E3144"/>
    <w:rsid w:val="005E6032"/>
    <w:rsid w:val="005E6DC2"/>
    <w:rsid w:val="006069F3"/>
    <w:rsid w:val="006131D0"/>
    <w:rsid w:val="00614687"/>
    <w:rsid w:val="00630197"/>
    <w:rsid w:val="00633187"/>
    <w:rsid w:val="00660FC0"/>
    <w:rsid w:val="006623C2"/>
    <w:rsid w:val="00674A7A"/>
    <w:rsid w:val="0068684B"/>
    <w:rsid w:val="0069506C"/>
    <w:rsid w:val="006A45D5"/>
    <w:rsid w:val="006A516E"/>
    <w:rsid w:val="006B0570"/>
    <w:rsid w:val="006F3BED"/>
    <w:rsid w:val="00703861"/>
    <w:rsid w:val="00735094"/>
    <w:rsid w:val="00746F8B"/>
    <w:rsid w:val="00752DE4"/>
    <w:rsid w:val="00760D8A"/>
    <w:rsid w:val="0077614B"/>
    <w:rsid w:val="007B24FB"/>
    <w:rsid w:val="007C26F5"/>
    <w:rsid w:val="007D0F1F"/>
    <w:rsid w:val="007D173E"/>
    <w:rsid w:val="007E1C95"/>
    <w:rsid w:val="007E3D21"/>
    <w:rsid w:val="007F6D31"/>
    <w:rsid w:val="00804D64"/>
    <w:rsid w:val="008248D1"/>
    <w:rsid w:val="00827D0A"/>
    <w:rsid w:val="00850153"/>
    <w:rsid w:val="008C10C4"/>
    <w:rsid w:val="008C4754"/>
    <w:rsid w:val="008C7570"/>
    <w:rsid w:val="008F0B8B"/>
    <w:rsid w:val="008F341A"/>
    <w:rsid w:val="00904BE3"/>
    <w:rsid w:val="0090780C"/>
    <w:rsid w:val="009376D8"/>
    <w:rsid w:val="00940B55"/>
    <w:rsid w:val="009461A6"/>
    <w:rsid w:val="009718B6"/>
    <w:rsid w:val="00972F26"/>
    <w:rsid w:val="00985461"/>
    <w:rsid w:val="009B0F24"/>
    <w:rsid w:val="009B1E13"/>
    <w:rsid w:val="009B706C"/>
    <w:rsid w:val="009C2461"/>
    <w:rsid w:val="009D3470"/>
    <w:rsid w:val="009E5374"/>
    <w:rsid w:val="009F6AAF"/>
    <w:rsid w:val="00A05930"/>
    <w:rsid w:val="00A1664E"/>
    <w:rsid w:val="00A218E1"/>
    <w:rsid w:val="00A23762"/>
    <w:rsid w:val="00A308FE"/>
    <w:rsid w:val="00A30D61"/>
    <w:rsid w:val="00A43618"/>
    <w:rsid w:val="00A455DD"/>
    <w:rsid w:val="00A53FC5"/>
    <w:rsid w:val="00A678A5"/>
    <w:rsid w:val="00A71069"/>
    <w:rsid w:val="00A851C9"/>
    <w:rsid w:val="00A8612E"/>
    <w:rsid w:val="00A92A60"/>
    <w:rsid w:val="00AA29C1"/>
    <w:rsid w:val="00AA3602"/>
    <w:rsid w:val="00AA7365"/>
    <w:rsid w:val="00AB0638"/>
    <w:rsid w:val="00AC17B6"/>
    <w:rsid w:val="00AC4116"/>
    <w:rsid w:val="00AC4C99"/>
    <w:rsid w:val="00AD66EF"/>
    <w:rsid w:val="00AD788C"/>
    <w:rsid w:val="00B02B48"/>
    <w:rsid w:val="00B03D51"/>
    <w:rsid w:val="00B30FEA"/>
    <w:rsid w:val="00BB19B0"/>
    <w:rsid w:val="00BB3CE3"/>
    <w:rsid w:val="00BC697D"/>
    <w:rsid w:val="00BF218B"/>
    <w:rsid w:val="00C12E17"/>
    <w:rsid w:val="00C31DC4"/>
    <w:rsid w:val="00C32C57"/>
    <w:rsid w:val="00C47A03"/>
    <w:rsid w:val="00C47BB6"/>
    <w:rsid w:val="00C54446"/>
    <w:rsid w:val="00C561BD"/>
    <w:rsid w:val="00C82B69"/>
    <w:rsid w:val="00CA16A0"/>
    <w:rsid w:val="00CA236B"/>
    <w:rsid w:val="00CA2416"/>
    <w:rsid w:val="00CB2141"/>
    <w:rsid w:val="00CC13FF"/>
    <w:rsid w:val="00CD09E3"/>
    <w:rsid w:val="00CE48CE"/>
    <w:rsid w:val="00CE7046"/>
    <w:rsid w:val="00CF766C"/>
    <w:rsid w:val="00D43064"/>
    <w:rsid w:val="00D662A3"/>
    <w:rsid w:val="00D829D6"/>
    <w:rsid w:val="00D9170C"/>
    <w:rsid w:val="00DA4A4E"/>
    <w:rsid w:val="00DB413D"/>
    <w:rsid w:val="00DC37FC"/>
    <w:rsid w:val="00DD2236"/>
    <w:rsid w:val="00DE4DA2"/>
    <w:rsid w:val="00DF1DA0"/>
    <w:rsid w:val="00DF680F"/>
    <w:rsid w:val="00E4316D"/>
    <w:rsid w:val="00E45717"/>
    <w:rsid w:val="00E51A2A"/>
    <w:rsid w:val="00E51F38"/>
    <w:rsid w:val="00E537D4"/>
    <w:rsid w:val="00E53E5B"/>
    <w:rsid w:val="00E96AF4"/>
    <w:rsid w:val="00EA4E8D"/>
    <w:rsid w:val="00EB3A16"/>
    <w:rsid w:val="00EC4459"/>
    <w:rsid w:val="00EE09F8"/>
    <w:rsid w:val="00EE3F0F"/>
    <w:rsid w:val="00EF2095"/>
    <w:rsid w:val="00EF4D5A"/>
    <w:rsid w:val="00F11D84"/>
    <w:rsid w:val="00F2148C"/>
    <w:rsid w:val="00F234B2"/>
    <w:rsid w:val="00F359D3"/>
    <w:rsid w:val="00F52947"/>
    <w:rsid w:val="00F65A53"/>
    <w:rsid w:val="00F72745"/>
    <w:rsid w:val="00F82982"/>
    <w:rsid w:val="00FA16EA"/>
    <w:rsid w:val="00FE1980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F06626"/>
  <w15:docId w15:val="{FB79D4EB-5695-144F-A160-C194F2E8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18"/>
        <w:szCs w:val="1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4C"/>
    <w:pPr>
      <w:spacing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C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33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4B2"/>
    <w:rPr>
      <w:b/>
      <w:bCs/>
    </w:rPr>
  </w:style>
  <w:style w:type="paragraph" w:styleId="NormalWeb">
    <w:name w:val="Normal (Web)"/>
    <w:basedOn w:val="Normal"/>
    <w:uiPriority w:val="99"/>
    <w:unhideWhenUsed/>
    <w:rsid w:val="00F23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A23762"/>
    <w:rPr>
      <w:i/>
      <w:iCs/>
    </w:rPr>
  </w:style>
  <w:style w:type="table" w:styleId="TableGrid">
    <w:name w:val="Table Grid"/>
    <w:basedOn w:val="TableNormal"/>
    <w:uiPriority w:val="39"/>
    <w:rsid w:val="00386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4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4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1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9D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078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ayba@maraisbutton.co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Annelie Marais</cp:lastModifiedBy>
  <cp:revision>2</cp:revision>
  <dcterms:created xsi:type="dcterms:W3CDTF">2020-05-15T14:39:00Z</dcterms:created>
  <dcterms:modified xsi:type="dcterms:W3CDTF">2020-05-15T14:39:00Z</dcterms:modified>
</cp:coreProperties>
</file>