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8D40" w14:textId="06DB6504" w:rsidR="009107CA" w:rsidRPr="009107CA" w:rsidRDefault="009107CA" w:rsidP="009107CA">
      <w:pPr>
        <w:rPr>
          <w:rFonts w:ascii="Century Gothic" w:hAnsi="Century Gothic"/>
          <w:b/>
          <w:bCs/>
          <w:sz w:val="24"/>
          <w:szCs w:val="24"/>
        </w:rPr>
      </w:pPr>
      <w:r w:rsidRPr="008007B4">
        <w:rPr>
          <w:rFonts w:ascii="Century Gothic" w:eastAsia="Times New Roman" w:hAnsi="Century Gothic" w:cs="Times New Roman"/>
          <w:b/>
          <w:szCs w:val="20"/>
        </w:rPr>
        <w:t>Youth Pathway Manager</w:t>
      </w:r>
      <w:r>
        <w:rPr>
          <w:rFonts w:ascii="Century Gothic" w:eastAsia="Times New Roman" w:hAnsi="Century Gothic" w:cs="Times New Roman"/>
          <w:b/>
          <w:szCs w:val="20"/>
        </w:rPr>
        <w:t xml:space="preserve"> - </w:t>
      </w:r>
      <w:r w:rsidRPr="009107CA">
        <w:rPr>
          <w:rFonts w:ascii="Century Gothic" w:hAnsi="Century Gothic"/>
          <w:b/>
          <w:bCs/>
          <w:sz w:val="24"/>
          <w:szCs w:val="24"/>
        </w:rPr>
        <w:t>Youth and After School Programme Office</w:t>
      </w:r>
      <w:r w:rsidRPr="009107C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107CA">
        <w:rPr>
          <w:rFonts w:ascii="Century Gothic" w:hAnsi="Century Gothic"/>
          <w:b/>
          <w:bCs/>
          <w:sz w:val="24"/>
          <w:szCs w:val="24"/>
        </w:rPr>
        <w:t>Western Cape Government</w:t>
      </w:r>
    </w:p>
    <w:p w14:paraId="743EB94B" w14:textId="77777777" w:rsidR="009107CA" w:rsidRPr="009107CA" w:rsidRDefault="009107CA" w:rsidP="009107CA">
      <w:pPr>
        <w:rPr>
          <w:rFonts w:ascii="Century Gothic" w:hAnsi="Century Gothic"/>
          <w:sz w:val="20"/>
          <w:szCs w:val="20"/>
        </w:rPr>
      </w:pPr>
      <w:r w:rsidRPr="009107CA">
        <w:rPr>
          <w:rFonts w:ascii="Century Gothic" w:hAnsi="Century Gothic"/>
          <w:sz w:val="20"/>
          <w:szCs w:val="20"/>
        </w:rPr>
        <w:t>2</w:t>
      </w:r>
      <w:r w:rsidRPr="009107CA">
        <w:rPr>
          <w:rFonts w:ascii="Century Gothic" w:hAnsi="Century Gothic"/>
          <w:sz w:val="20"/>
          <w:szCs w:val="20"/>
          <w:vertAlign w:val="superscript"/>
        </w:rPr>
        <w:t>nd</w:t>
      </w:r>
      <w:r w:rsidRPr="009107CA">
        <w:rPr>
          <w:rFonts w:ascii="Century Gothic" w:hAnsi="Century Gothic"/>
          <w:sz w:val="20"/>
          <w:szCs w:val="20"/>
        </w:rPr>
        <w:t xml:space="preserve"> Floor, Protea Assurance Building, Greenmarket Square, Cape Town, 8000</w:t>
      </w:r>
    </w:p>
    <w:p w14:paraId="26C5D7D7" w14:textId="77777777" w:rsidR="009107CA" w:rsidRPr="009107CA" w:rsidRDefault="009107CA" w:rsidP="009107CA">
      <w:pPr>
        <w:rPr>
          <w:rFonts w:ascii="Century Gothic" w:hAnsi="Century Gothic"/>
          <w:sz w:val="20"/>
          <w:szCs w:val="20"/>
        </w:rPr>
      </w:pPr>
      <w:r w:rsidRPr="009107CA">
        <w:rPr>
          <w:rFonts w:ascii="Century Gothic" w:hAnsi="Century Gothic"/>
          <w:sz w:val="20"/>
          <w:szCs w:val="20"/>
        </w:rPr>
        <w:t>Tel: 021 483 6545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65"/>
        <w:gridCol w:w="7380"/>
      </w:tblGrid>
      <w:tr w:rsidR="009107CA" w:rsidRPr="00C30229" w14:paraId="14025150" w14:textId="77777777" w:rsidTr="006B661E">
        <w:tc>
          <w:tcPr>
            <w:tcW w:w="2065" w:type="dxa"/>
          </w:tcPr>
          <w:p w14:paraId="1CD2800A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C30229">
              <w:rPr>
                <w:rFonts w:ascii="Century Gothic" w:eastAsia="Times New Roman" w:hAnsi="Century Gothic" w:cs="Times New Roman"/>
                <w:szCs w:val="20"/>
              </w:rPr>
              <w:t>Job Purpose</w:t>
            </w:r>
          </w:p>
        </w:tc>
        <w:tc>
          <w:tcPr>
            <w:tcW w:w="7380" w:type="dxa"/>
          </w:tcPr>
          <w:p w14:paraId="5286AF5D" w14:textId="77777777" w:rsidR="009107CA" w:rsidRPr="00C30229" w:rsidRDefault="009107CA" w:rsidP="006B661E">
            <w:pPr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To design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and deliver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 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>career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 readiness </w:t>
            </w:r>
            <w:proofErr w:type="spellStart"/>
            <w:r>
              <w:rPr>
                <w:rFonts w:ascii="Century Gothic" w:eastAsia="Times New Roman" w:hAnsi="Century Gothic" w:cs="Times New Roman"/>
                <w:szCs w:val="20"/>
              </w:rPr>
              <w:t>programmes</w:t>
            </w:r>
            <w:proofErr w:type="spellEnd"/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for all the active 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youth in service as well as management of the alumni network. This includes securing both study and 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>employment opportunities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Times New Roman"/>
                <w:szCs w:val="20"/>
              </w:rPr>
              <w:t xml:space="preserve">and 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ensuring</w:t>
            </w:r>
            <w:proofErr w:type="gramEnd"/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that </w:t>
            </w:r>
            <w:r>
              <w:rPr>
                <w:rFonts w:ascii="Century Gothic" w:eastAsia="Times New Roman" w:hAnsi="Century Gothic" w:cs="Times New Roman"/>
                <w:szCs w:val="20"/>
              </w:rPr>
              <w:t>youth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in the programme feel supported in planning for their careers and </w:t>
            </w:r>
            <w:r>
              <w:rPr>
                <w:rFonts w:ascii="Century Gothic" w:eastAsia="Times New Roman" w:hAnsi="Century Gothic" w:cs="Times New Roman"/>
                <w:szCs w:val="20"/>
              </w:rPr>
              <w:t>t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ransition 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into studies or work. </w:t>
            </w:r>
          </w:p>
        </w:tc>
      </w:tr>
      <w:tr w:rsidR="009107CA" w:rsidRPr="00C30229" w14:paraId="7872BC1B" w14:textId="77777777" w:rsidTr="006B661E">
        <w:tc>
          <w:tcPr>
            <w:tcW w:w="2065" w:type="dxa"/>
          </w:tcPr>
          <w:p w14:paraId="37F62B53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Reports to</w:t>
            </w:r>
          </w:p>
        </w:tc>
        <w:tc>
          <w:tcPr>
            <w:tcW w:w="7380" w:type="dxa"/>
          </w:tcPr>
          <w:p w14:paraId="79E8F101" w14:textId="77777777" w:rsidR="009107CA" w:rsidRDefault="009107CA" w:rsidP="006B661E">
            <w:pPr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Senior Youth Service Manager</w:t>
            </w:r>
          </w:p>
        </w:tc>
      </w:tr>
      <w:tr w:rsidR="009107CA" w:rsidRPr="00C30229" w14:paraId="039B315F" w14:textId="77777777" w:rsidTr="006B661E">
        <w:tc>
          <w:tcPr>
            <w:tcW w:w="2065" w:type="dxa"/>
            <w:vMerge w:val="restart"/>
          </w:tcPr>
          <w:p w14:paraId="64A744AD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C30229">
              <w:rPr>
                <w:rFonts w:ascii="Century Gothic" w:eastAsia="Times New Roman" w:hAnsi="Century Gothic" w:cs="Times New Roman"/>
                <w:szCs w:val="20"/>
              </w:rPr>
              <w:t>Responsibilities</w:t>
            </w:r>
          </w:p>
          <w:p w14:paraId="00029E35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  <w:p w14:paraId="7F7C064E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540AE13C" w14:textId="77777777" w:rsidR="009107CA" w:rsidRPr="00CC6818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Programme design and delivery</w:t>
            </w:r>
          </w:p>
          <w:p w14:paraId="406FAF03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Design, develop and deliver work readiness programming to </w:t>
            </w:r>
            <w:proofErr w:type="spellStart"/>
            <w:r>
              <w:rPr>
                <w:rFonts w:ascii="Century Gothic" w:eastAsia="Times New Roman" w:hAnsi="Century Gothic" w:cs="Times New Roman"/>
                <w:szCs w:val="20"/>
              </w:rPr>
              <w:t>YeBoneer</w:t>
            </w:r>
            <w:r w:rsidRPr="0072029D">
              <w:rPr>
                <w:rFonts w:ascii="Century Gothic" w:eastAsia="Times New Roman" w:hAnsi="Century Gothic" w:cs="Times New Roman"/>
                <w:szCs w:val="20"/>
              </w:rPr>
              <w:t>s</w:t>
            </w:r>
            <w:proofErr w:type="spellEnd"/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 to ensure they are competitive for opportunities and can successfully transition to the world of work or studies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. </w:t>
            </w:r>
          </w:p>
          <w:p w14:paraId="1799D55E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67C4F1F6" w14:textId="77777777" w:rsidTr="006B661E">
        <w:tc>
          <w:tcPr>
            <w:tcW w:w="2065" w:type="dxa"/>
            <w:vMerge/>
          </w:tcPr>
          <w:p w14:paraId="73C1C228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6B425EA8" w14:textId="77777777" w:rsidR="009107CA" w:rsidRPr="00CC6818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Training and facilitation skills</w:t>
            </w:r>
          </w:p>
          <w:p w14:paraId="6C36430C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 xml:space="preserve">Design and delivery of pathway support </w:t>
            </w:r>
            <w:proofErr w:type="spellStart"/>
            <w:r>
              <w:rPr>
                <w:rFonts w:ascii="Century Gothic" w:eastAsia="Times New Roman" w:hAnsi="Century Gothic" w:cs="Times New Roman"/>
                <w:szCs w:val="20"/>
              </w:rPr>
              <w:t>programmes</w:t>
            </w:r>
            <w:proofErr w:type="spellEnd"/>
            <w:r>
              <w:rPr>
                <w:rFonts w:ascii="Century Gothic" w:eastAsia="Times New Roman" w:hAnsi="Century Gothic" w:cs="Times New Roman"/>
                <w:szCs w:val="20"/>
              </w:rPr>
              <w:t xml:space="preserve">. </w:t>
            </w:r>
          </w:p>
          <w:p w14:paraId="78B7127A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  <w:p w14:paraId="224CBA8C" w14:textId="77777777" w:rsidR="009107CA" w:rsidRPr="0072029D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Work one-to-one, in group settings and through technology interventions to support students offering advice, guidance and coaching. Offer coaching services to Alumni of the programme to support their continued career development and success. </w:t>
            </w:r>
          </w:p>
          <w:p w14:paraId="749D59CF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  <w:p w14:paraId="538B48F1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This will include s</w:t>
            </w:r>
            <w:r w:rsidRPr="0072029D">
              <w:rPr>
                <w:rFonts w:ascii="Century Gothic" w:eastAsia="Times New Roman" w:hAnsi="Century Gothic" w:cs="Times New Roman"/>
                <w:szCs w:val="20"/>
              </w:rPr>
              <w:t>upport</w:t>
            </w:r>
            <w:r>
              <w:rPr>
                <w:rFonts w:ascii="Century Gothic" w:eastAsia="Times New Roman" w:hAnsi="Century Gothic" w:cs="Times New Roman"/>
                <w:szCs w:val="20"/>
              </w:rPr>
              <w:t>ing mentors and conducting</w:t>
            </w:r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 </w:t>
            </w:r>
            <w:proofErr w:type="spellStart"/>
            <w:r w:rsidRPr="0072029D">
              <w:rPr>
                <w:rFonts w:ascii="Century Gothic" w:eastAsia="Times New Roman" w:hAnsi="Century Gothic" w:cs="Times New Roman"/>
                <w:szCs w:val="20"/>
              </w:rPr>
              <w:t>personalised</w:t>
            </w:r>
            <w:proofErr w:type="spellEnd"/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 reviews of students’ profiles for recruitment, including CVs, LinkedIn profiles and mock interviews. </w:t>
            </w:r>
          </w:p>
          <w:p w14:paraId="217A3160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0CA97E16" w14:textId="77777777" w:rsidTr="006B661E">
        <w:tc>
          <w:tcPr>
            <w:tcW w:w="2065" w:type="dxa"/>
            <w:vMerge/>
          </w:tcPr>
          <w:p w14:paraId="09834C27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0D0D2938" w14:textId="77777777" w:rsidR="009107CA" w:rsidRPr="00CC6818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Partnership Management</w:t>
            </w:r>
          </w:p>
          <w:p w14:paraId="4CF313E6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Seek, </w:t>
            </w:r>
            <w:proofErr w:type="gramStart"/>
            <w:r w:rsidRPr="0072029D">
              <w:rPr>
                <w:rFonts w:ascii="Century Gothic" w:eastAsia="Times New Roman" w:hAnsi="Century Gothic" w:cs="Times New Roman"/>
                <w:szCs w:val="20"/>
              </w:rPr>
              <w:t>develop</w:t>
            </w:r>
            <w:proofErr w:type="gramEnd"/>
            <w:r w:rsidRPr="0072029D">
              <w:rPr>
                <w:rFonts w:ascii="Century Gothic" w:eastAsia="Times New Roman" w:hAnsi="Century Gothic" w:cs="Times New Roman"/>
                <w:szCs w:val="20"/>
              </w:rPr>
              <w:t xml:space="preserve"> and nurture employer relationships to facilitate full time job placements</w:t>
            </w:r>
            <w:r>
              <w:rPr>
                <w:rFonts w:ascii="Century Gothic" w:eastAsia="Times New Roman" w:hAnsi="Century Gothic" w:cs="Times New Roman"/>
                <w:szCs w:val="20"/>
              </w:rPr>
              <w:t>, internships and bursaries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to </w:t>
            </w:r>
            <w:proofErr w:type="spellStart"/>
            <w:r>
              <w:rPr>
                <w:rFonts w:ascii="Century Gothic" w:eastAsia="Times New Roman" w:hAnsi="Century Gothic" w:cs="Times New Roman"/>
                <w:szCs w:val="20"/>
              </w:rPr>
              <w:t>YeBoneer</w:t>
            </w:r>
            <w:r w:rsidRPr="00C30229">
              <w:rPr>
                <w:rFonts w:ascii="Century Gothic" w:eastAsia="Times New Roman" w:hAnsi="Century Gothic" w:cs="Times New Roman"/>
                <w:szCs w:val="20"/>
              </w:rPr>
              <w:t>s</w:t>
            </w:r>
            <w:proofErr w:type="spellEnd"/>
            <w:r w:rsidRPr="00C30229">
              <w:rPr>
                <w:rFonts w:ascii="Century Gothic" w:eastAsia="Times New Roman" w:hAnsi="Century Gothic" w:cs="Times New Roman"/>
                <w:szCs w:val="20"/>
              </w:rPr>
              <w:t xml:space="preserve"> at the end of their year of service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. This will include working with and building a network of partners within the public, private and NGO sectors. </w:t>
            </w:r>
          </w:p>
          <w:p w14:paraId="244F2E21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7FBFC4F2" w14:textId="77777777" w:rsidTr="006B661E">
        <w:tc>
          <w:tcPr>
            <w:tcW w:w="2065" w:type="dxa"/>
            <w:vMerge/>
          </w:tcPr>
          <w:p w14:paraId="5D56BA27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633051CB" w14:textId="77777777" w:rsidR="009107CA" w:rsidRPr="00CC6818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 xml:space="preserve">Resource </w:t>
            </w:r>
            <w:proofErr w:type="spellStart"/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mobilisation</w:t>
            </w:r>
            <w:proofErr w:type="spellEnd"/>
          </w:p>
          <w:p w14:paraId="4FBEBA9A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Mobilising bursaries and other resources to support the pathway support programme.</w:t>
            </w:r>
          </w:p>
          <w:p w14:paraId="63098853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5FD11EB9" w14:textId="77777777" w:rsidTr="006B661E">
        <w:tc>
          <w:tcPr>
            <w:tcW w:w="2065" w:type="dxa"/>
            <w:vMerge/>
          </w:tcPr>
          <w:p w14:paraId="7AF36E39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67D879B7" w14:textId="77777777" w:rsidR="009107CA" w:rsidRPr="00CC6818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Management</w:t>
            </w:r>
          </w:p>
          <w:p w14:paraId="76C248CE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 xml:space="preserve">Management of both project staff and interns and external service providers and partners. </w:t>
            </w:r>
          </w:p>
          <w:p w14:paraId="166FF32F" w14:textId="77777777" w:rsidR="009107CA" w:rsidRPr="008007B4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1945DEFF" w14:textId="77777777" w:rsidTr="006B661E">
        <w:tc>
          <w:tcPr>
            <w:tcW w:w="2065" w:type="dxa"/>
            <w:vMerge/>
          </w:tcPr>
          <w:p w14:paraId="74949870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03A8FCD9" w14:textId="77777777" w:rsidR="009107CA" w:rsidRPr="00CC6818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818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Knowledge management</w:t>
            </w:r>
          </w:p>
          <w:p w14:paraId="04F8C390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Maintain the Alumni database and network and conduct regular surveys with the alumni and partners to inform the continuous improvement of the programme</w:t>
            </w:r>
          </w:p>
          <w:p w14:paraId="56731DAA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08E9522E" w14:textId="77777777" w:rsidTr="006B661E">
        <w:tc>
          <w:tcPr>
            <w:tcW w:w="2065" w:type="dxa"/>
            <w:vMerge w:val="restart"/>
          </w:tcPr>
          <w:p w14:paraId="2888A71E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C30229">
              <w:rPr>
                <w:rFonts w:ascii="Century Gothic" w:eastAsia="Times New Roman" w:hAnsi="Century Gothic" w:cs="Times New Roman"/>
                <w:szCs w:val="20"/>
              </w:rPr>
              <w:t>Job requirements</w:t>
            </w:r>
          </w:p>
          <w:p w14:paraId="1D7FF282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  <w:p w14:paraId="50871914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Minimum of:</w:t>
            </w:r>
          </w:p>
          <w:p w14:paraId="69D9E26A" w14:textId="77777777" w:rsidR="009107CA" w:rsidRPr="009D1C8E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Cs w:val="20"/>
              </w:rPr>
              <w:t>Relevant b</w:t>
            </w:r>
            <w:r w:rsidRPr="009D1C8E">
              <w:rPr>
                <w:rFonts w:ascii="Century Gothic" w:eastAsia="Times New Roman" w:hAnsi="Century Gothic" w:cs="Times New Roman"/>
                <w:i/>
                <w:szCs w:val="20"/>
              </w:rPr>
              <w:t xml:space="preserve">achelor’s degree, </w:t>
            </w:r>
            <w:r>
              <w:rPr>
                <w:rFonts w:ascii="Century Gothic" w:eastAsia="Times New Roman" w:hAnsi="Century Gothic" w:cs="Times New Roman"/>
                <w:i/>
                <w:szCs w:val="20"/>
              </w:rPr>
              <w:t>3</w:t>
            </w:r>
            <w:r w:rsidRPr="009D1C8E">
              <w:rPr>
                <w:rFonts w:ascii="Century Gothic" w:eastAsia="Times New Roman" w:hAnsi="Century Gothic" w:cs="Times New Roman"/>
                <w:i/>
                <w:szCs w:val="20"/>
              </w:rPr>
              <w:t xml:space="preserve"> years management experience, youth development expertise and a valid drivers’ license.</w:t>
            </w:r>
          </w:p>
        </w:tc>
        <w:tc>
          <w:tcPr>
            <w:tcW w:w="7380" w:type="dxa"/>
          </w:tcPr>
          <w:p w14:paraId="66CFE7A7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DF9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Excellent people and partnership skills</w:t>
            </w:r>
          </w:p>
          <w:p w14:paraId="50F6E821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CC6DF9">
              <w:rPr>
                <w:rFonts w:ascii="Century Gothic" w:eastAsia="Times New Roman" w:hAnsi="Century Gothic" w:cs="Times New Roman"/>
                <w:szCs w:val="20"/>
              </w:rPr>
              <w:t xml:space="preserve">The incumbent will need to engage effectively with a wide variety of audiences including leaders, and senior Human Resource executives </w:t>
            </w:r>
            <w:proofErr w:type="gramStart"/>
            <w:r w:rsidRPr="00CC6DF9">
              <w:rPr>
                <w:rFonts w:ascii="Century Gothic" w:eastAsia="Times New Roman" w:hAnsi="Century Gothic" w:cs="Times New Roman"/>
                <w:szCs w:val="20"/>
              </w:rPr>
              <w:t>in:</w:t>
            </w:r>
            <w:proofErr w:type="gramEnd"/>
            <w:r w:rsidRPr="00CC6DF9">
              <w:rPr>
                <w:rFonts w:ascii="Century Gothic" w:eastAsia="Times New Roman" w:hAnsi="Century Gothic" w:cs="Times New Roman"/>
                <w:szCs w:val="20"/>
              </w:rPr>
              <w:t xml:space="preserve"> top-tier corporates, small and medium-sized enterprises, large-scale NPOs, national and provincial government and top universities. The successful candidate will need to possess the maturity and judgment to be an effective representative of </w:t>
            </w:r>
            <w:proofErr w:type="spellStart"/>
            <w:r w:rsidRPr="00CC6DF9">
              <w:rPr>
                <w:rFonts w:ascii="Century Gothic" w:eastAsia="Times New Roman" w:hAnsi="Century Gothic" w:cs="Times New Roman"/>
                <w:szCs w:val="20"/>
              </w:rPr>
              <w:t>YearBeyond</w:t>
            </w:r>
            <w:proofErr w:type="spellEnd"/>
            <w:r w:rsidRPr="00CC6DF9">
              <w:rPr>
                <w:rFonts w:ascii="Century Gothic" w:eastAsia="Times New Roman" w:hAnsi="Century Gothic" w:cs="Times New Roman"/>
                <w:szCs w:val="20"/>
              </w:rPr>
              <w:t>.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  </w:t>
            </w:r>
            <w:r w:rsidRPr="002369E1">
              <w:rPr>
                <w:rFonts w:ascii="Century Gothic" w:eastAsia="Times New Roman" w:hAnsi="Century Gothic" w:cs="Times New Roman"/>
                <w:szCs w:val="20"/>
              </w:rPr>
              <w:t xml:space="preserve">Equally, this person must also be able to engage with </w:t>
            </w:r>
            <w:proofErr w:type="spellStart"/>
            <w:r>
              <w:rPr>
                <w:rFonts w:ascii="Century Gothic" w:eastAsia="Times New Roman" w:hAnsi="Century Gothic" w:cs="Times New Roman"/>
                <w:szCs w:val="20"/>
              </w:rPr>
              <w:t>YeBoneers</w:t>
            </w:r>
            <w:proofErr w:type="spellEnd"/>
            <w:r w:rsidRPr="002369E1">
              <w:rPr>
                <w:rFonts w:ascii="Century Gothic" w:eastAsia="Times New Roman" w:hAnsi="Century Gothic" w:cs="Times New Roman"/>
                <w:szCs w:val="20"/>
              </w:rPr>
              <w:t xml:space="preserve"> in a caring and supportive manner, and always have 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their interests </w:t>
            </w:r>
            <w:r w:rsidRPr="002369E1">
              <w:rPr>
                <w:rFonts w:ascii="Century Gothic" w:eastAsia="Times New Roman" w:hAnsi="Century Gothic" w:cs="Times New Roman"/>
                <w:szCs w:val="20"/>
              </w:rPr>
              <w:t>top of mind.</w:t>
            </w:r>
          </w:p>
          <w:p w14:paraId="2B341A7F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1A26D821" w14:textId="77777777" w:rsidTr="006B661E">
        <w:tc>
          <w:tcPr>
            <w:tcW w:w="2065" w:type="dxa"/>
            <w:vMerge/>
          </w:tcPr>
          <w:p w14:paraId="7A027298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4AF320C9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Cs w:val="20"/>
              </w:rPr>
              <w:t>Knowledge of the recruitment and placement industry and youth development</w:t>
            </w:r>
          </w:p>
          <w:p w14:paraId="6C3DAAB0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 xml:space="preserve">Excellent knowledge of HR processes, the recruitment and placement industry. </w:t>
            </w:r>
          </w:p>
          <w:p w14:paraId="14CA22D1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  <w:p w14:paraId="29A66F96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Good k</w:t>
            </w:r>
            <w:r w:rsidRPr="00F24786">
              <w:rPr>
                <w:rFonts w:ascii="Century Gothic" w:eastAsia="Times New Roman" w:hAnsi="Century Gothic" w:cs="Times New Roman"/>
                <w:szCs w:val="20"/>
              </w:rPr>
              <w:t>nowledge of the youth development</w:t>
            </w:r>
            <w:r>
              <w:rPr>
                <w:rFonts w:ascii="Century Gothic" w:eastAsia="Times New Roman" w:hAnsi="Century Gothic" w:cs="Times New Roman"/>
                <w:szCs w:val="20"/>
              </w:rPr>
              <w:t xml:space="preserve"> i</w:t>
            </w:r>
            <w:r w:rsidRPr="00F24786">
              <w:rPr>
                <w:rFonts w:ascii="Century Gothic" w:eastAsia="Times New Roman" w:hAnsi="Century Gothic" w:cs="Times New Roman"/>
                <w:szCs w:val="20"/>
              </w:rPr>
              <w:t xml:space="preserve">n South Africa </w:t>
            </w:r>
            <w:r>
              <w:rPr>
                <w:rFonts w:ascii="Century Gothic" w:eastAsia="Times New Roman" w:hAnsi="Century Gothic" w:cs="Times New Roman"/>
                <w:szCs w:val="20"/>
              </w:rPr>
              <w:t>and experience working directly with young people.</w:t>
            </w:r>
          </w:p>
          <w:p w14:paraId="7113A827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</w:p>
        </w:tc>
      </w:tr>
      <w:tr w:rsidR="009107CA" w:rsidRPr="00C30229" w14:paraId="2A64687D" w14:textId="77777777" w:rsidTr="006B661E">
        <w:tc>
          <w:tcPr>
            <w:tcW w:w="2065" w:type="dxa"/>
            <w:vMerge/>
          </w:tcPr>
          <w:p w14:paraId="5F3E3C7C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71A33A5C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DF9">
              <w:rPr>
                <w:rFonts w:ascii="Century Gothic" w:eastAsia="Times New Roman" w:hAnsi="Century Gothic" w:cs="Times New Roman"/>
                <w:b/>
                <w:i/>
                <w:szCs w:val="20"/>
              </w:rPr>
              <w:t xml:space="preserve">Creative, </w:t>
            </w:r>
            <w:proofErr w:type="gramStart"/>
            <w:r w:rsidRPr="00CC6DF9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flexible</w:t>
            </w:r>
            <w:proofErr w:type="gramEnd"/>
            <w:r w:rsidRPr="00CC6DF9">
              <w:rPr>
                <w:rFonts w:ascii="Century Gothic" w:eastAsia="Times New Roman" w:hAnsi="Century Gothic" w:cs="Times New Roman"/>
                <w:b/>
                <w:i/>
                <w:szCs w:val="20"/>
              </w:rPr>
              <w:t xml:space="preserve"> and innovative thinker</w:t>
            </w:r>
          </w:p>
          <w:p w14:paraId="1E02C90B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 w:rsidRPr="00CC6DF9">
              <w:rPr>
                <w:rFonts w:ascii="Century Gothic" w:eastAsia="Times New Roman" w:hAnsi="Century Gothic" w:cs="Times New Roman"/>
                <w:szCs w:val="20"/>
              </w:rPr>
              <w:t>The ability to think strategically and innovatively around youth pathways into work and studies and effectively influence a wide cross-section of people along with a willingness to do whatever it takes to get the job done.</w:t>
            </w:r>
          </w:p>
          <w:p w14:paraId="6BE77AF1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73197B7E" w14:textId="77777777" w:rsidTr="006B661E">
        <w:tc>
          <w:tcPr>
            <w:tcW w:w="2065" w:type="dxa"/>
            <w:vMerge/>
          </w:tcPr>
          <w:p w14:paraId="69093D7A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228868C2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DF9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Training design and facilitation skills</w:t>
            </w:r>
          </w:p>
          <w:p w14:paraId="6627A27B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 xml:space="preserve">The incumbent must have experience designing and running training sessions with a range of audiences including with youth from diverse backgrounds. This should include experience running both group and individual sessions. Training is offered in both English and Afrikaans. </w:t>
            </w:r>
          </w:p>
          <w:p w14:paraId="199137E1" w14:textId="77777777" w:rsidR="009107CA" w:rsidRPr="00F24786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107CA" w:rsidRPr="00C30229" w14:paraId="5B5CD3C2" w14:textId="77777777" w:rsidTr="006B661E">
        <w:tc>
          <w:tcPr>
            <w:tcW w:w="2065" w:type="dxa"/>
            <w:vMerge/>
          </w:tcPr>
          <w:p w14:paraId="33A378ED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  <w:tc>
          <w:tcPr>
            <w:tcW w:w="7380" w:type="dxa"/>
          </w:tcPr>
          <w:p w14:paraId="2162E228" w14:textId="77777777" w:rsidR="009107CA" w:rsidRPr="00CC6DF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i/>
                <w:szCs w:val="20"/>
              </w:rPr>
            </w:pPr>
            <w:r w:rsidRPr="00CC6DF9">
              <w:rPr>
                <w:rFonts w:ascii="Century Gothic" w:eastAsia="Times New Roman" w:hAnsi="Century Gothic" w:cs="Times New Roman"/>
                <w:b/>
                <w:i/>
                <w:szCs w:val="20"/>
              </w:rPr>
              <w:t>Good communication skills</w:t>
            </w:r>
          </w:p>
          <w:p w14:paraId="698AEC00" w14:textId="77777777" w:rsidR="009107CA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 xml:space="preserve">The incumbent will from time to time be required to develop training materials and reports. Good written and verbal communication skills are therefore a requirement. </w:t>
            </w:r>
          </w:p>
          <w:p w14:paraId="118CA32E" w14:textId="77777777" w:rsidR="009107CA" w:rsidRPr="00C30229" w:rsidRDefault="009107CA" w:rsidP="006B661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</w:tbl>
    <w:p w14:paraId="13348E39" w14:textId="4BC2E872" w:rsidR="009107CA" w:rsidRDefault="009107CA" w:rsidP="009107CA">
      <w:pPr>
        <w:rPr>
          <w:rFonts w:ascii="Century Gothic" w:eastAsia="Times New Roman" w:hAnsi="Century Gothic" w:cs="Times New Roman"/>
          <w:szCs w:val="20"/>
        </w:rPr>
      </w:pPr>
      <w:r>
        <w:rPr>
          <w:rFonts w:ascii="Century Gothic" w:eastAsia="Times New Roman" w:hAnsi="Century Gothic" w:cs="Times New Roman"/>
          <w:szCs w:val="20"/>
        </w:rPr>
        <w:t xml:space="preserve">Interested candidates must send a motivation letter highlighting your suitability to the role and a CV to </w:t>
      </w:r>
      <w:hyperlink r:id="rId5" w:history="1">
        <w:r w:rsidRPr="001C547F">
          <w:rPr>
            <w:rStyle w:val="Hyperlink"/>
            <w:rFonts w:ascii="Century Gothic" w:eastAsia="Times New Roman" w:hAnsi="Century Gothic" w:cs="Times New Roman"/>
            <w:szCs w:val="20"/>
          </w:rPr>
          <w:t>annelie@maraisbutton.co.za</w:t>
        </w:r>
      </w:hyperlink>
    </w:p>
    <w:p w14:paraId="6C9BE7EA" w14:textId="356BEC0D" w:rsidR="009107CA" w:rsidRDefault="009107CA" w:rsidP="009107CA">
      <w:pPr>
        <w:rPr>
          <w:rFonts w:ascii="Century Gothic" w:eastAsia="Times New Roman" w:hAnsi="Century Gothic" w:cs="Times New Roman"/>
          <w:szCs w:val="20"/>
        </w:rPr>
      </w:pPr>
      <w:r>
        <w:rPr>
          <w:rFonts w:ascii="Century Gothic" w:eastAsia="Times New Roman" w:hAnsi="Century Gothic" w:cs="Times New Roman"/>
          <w:szCs w:val="20"/>
        </w:rPr>
        <w:t>Contact will only be made with shortlisted candidates.</w:t>
      </w:r>
    </w:p>
    <w:p w14:paraId="0B8EFFF6" w14:textId="77777777" w:rsidR="00DD30DA" w:rsidRDefault="00DD30DA"/>
    <w:sectPr w:rsidR="00DD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C4s 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74BF6"/>
    <w:multiLevelType w:val="hybridMultilevel"/>
    <w:tmpl w:val="3C527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CA"/>
    <w:rsid w:val="009107CA"/>
    <w:rsid w:val="00D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FA75E7"/>
  <w15:chartTrackingRefBased/>
  <w15:docId w15:val="{A9F2995F-432F-4FCF-AF62-9C776BF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CA"/>
    <w:pPr>
      <w:spacing w:after="200" w:line="276" w:lineRule="auto"/>
    </w:pPr>
    <w:rPr>
      <w:rFonts w:ascii="TheSans C4s Light" w:hAnsi="TheSans C4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CA"/>
    <w:pPr>
      <w:ind w:left="720"/>
      <w:contextualSpacing/>
    </w:pPr>
  </w:style>
  <w:style w:type="table" w:styleId="TableGrid">
    <w:name w:val="Table Grid"/>
    <w:basedOn w:val="TableNormal"/>
    <w:uiPriority w:val="39"/>
    <w:rsid w:val="009107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lie@maraisbutton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Marais</dc:creator>
  <cp:keywords/>
  <dc:description/>
  <cp:lastModifiedBy>Annelie Marais</cp:lastModifiedBy>
  <cp:revision>1</cp:revision>
  <cp:lastPrinted>2020-07-23T07:27:00Z</cp:lastPrinted>
  <dcterms:created xsi:type="dcterms:W3CDTF">2020-07-23T07:25:00Z</dcterms:created>
  <dcterms:modified xsi:type="dcterms:W3CDTF">2020-07-23T07:30:00Z</dcterms:modified>
</cp:coreProperties>
</file>